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EAF" w:rsidRDefault="005E4A47" w:rsidP="00CE566B">
      <w:pPr>
        <w:spacing w:line="360" w:lineRule="auto"/>
        <w:rPr>
          <w:rFonts w:ascii="Arial" w:hAnsi="Arial" w:cs="Arial"/>
          <w:b/>
        </w:rPr>
      </w:pPr>
      <w:r>
        <w:rPr>
          <w:rFonts w:ascii="Arial" w:hAnsi="Arial" w:cs="Arial"/>
          <w:b/>
        </w:rPr>
        <w:t>PROPOSAL RINTISAN PENELITIAN KERJASAMA INTERNASIONAL</w:t>
      </w:r>
    </w:p>
    <w:p w:rsidR="005E4A47" w:rsidRDefault="005E4A47" w:rsidP="00CE566B">
      <w:pPr>
        <w:spacing w:line="360" w:lineRule="auto"/>
        <w:rPr>
          <w:rFonts w:ascii="Arial" w:hAnsi="Arial" w:cs="Arial"/>
          <w:b/>
        </w:rPr>
      </w:pPr>
      <w:r>
        <w:rPr>
          <w:rFonts w:ascii="Arial" w:hAnsi="Arial" w:cs="Arial"/>
          <w:b/>
        </w:rPr>
        <w:t>TAHUN ANGGARAN 2011</w:t>
      </w:r>
    </w:p>
    <w:p w:rsidR="005E4A47" w:rsidRDefault="005E4A47" w:rsidP="00040832">
      <w:pPr>
        <w:spacing w:line="360" w:lineRule="auto"/>
        <w:jc w:val="both"/>
        <w:rPr>
          <w:rFonts w:ascii="Arial" w:hAnsi="Arial" w:cs="Arial"/>
          <w:b/>
        </w:rPr>
      </w:pPr>
    </w:p>
    <w:p w:rsidR="005E4A47" w:rsidRDefault="005E4A47" w:rsidP="00CE566B">
      <w:pPr>
        <w:spacing w:line="360" w:lineRule="auto"/>
        <w:rPr>
          <w:rFonts w:ascii="Arial" w:hAnsi="Arial" w:cs="Arial"/>
          <w:b/>
        </w:rPr>
      </w:pPr>
    </w:p>
    <w:p w:rsidR="005E4A47" w:rsidRDefault="005F1291" w:rsidP="00CE566B">
      <w:pPr>
        <w:spacing w:line="360" w:lineRule="auto"/>
        <w:rPr>
          <w:rFonts w:ascii="Arial" w:hAnsi="Arial" w:cs="Arial"/>
          <w:b/>
        </w:rPr>
      </w:pPr>
      <w:r>
        <w:rPr>
          <w:rFonts w:ascii="Arial" w:hAnsi="Arial" w:cs="Arial"/>
          <w:b/>
        </w:rPr>
        <w:t>JUDUL PROPOSAL</w:t>
      </w:r>
      <w:r w:rsidR="005E4A47">
        <w:rPr>
          <w:rFonts w:ascii="Arial" w:hAnsi="Arial" w:cs="Arial"/>
          <w:b/>
        </w:rPr>
        <w:t>:</w:t>
      </w:r>
    </w:p>
    <w:p w:rsidR="00CB6748" w:rsidRDefault="00CB6748" w:rsidP="00CE566B">
      <w:pPr>
        <w:spacing w:line="360" w:lineRule="auto"/>
        <w:rPr>
          <w:rFonts w:ascii="Arial" w:hAnsi="Arial" w:cs="Arial"/>
          <w:b/>
        </w:rPr>
      </w:pPr>
      <w:r>
        <w:rPr>
          <w:rFonts w:ascii="Arial" w:hAnsi="Arial" w:cs="Arial"/>
          <w:b/>
        </w:rPr>
        <w:t>MENCARI</w:t>
      </w:r>
      <w:r w:rsidR="00A072FF">
        <w:rPr>
          <w:rFonts w:ascii="Arial" w:hAnsi="Arial" w:cs="Arial"/>
          <w:b/>
        </w:rPr>
        <w:t xml:space="preserve"> </w:t>
      </w:r>
      <w:r>
        <w:rPr>
          <w:rFonts w:ascii="Arial" w:hAnsi="Arial" w:cs="Arial"/>
          <w:b/>
        </w:rPr>
        <w:t xml:space="preserve">BENANG MERAH PEMIKIRAN MELAYU-JAWA </w:t>
      </w:r>
    </w:p>
    <w:p w:rsidR="00CB6748" w:rsidRDefault="00CB6748" w:rsidP="00CE566B">
      <w:pPr>
        <w:spacing w:line="360" w:lineRule="auto"/>
        <w:rPr>
          <w:rFonts w:ascii="Arial" w:hAnsi="Arial" w:cs="Arial"/>
          <w:b/>
        </w:rPr>
      </w:pPr>
      <w:r>
        <w:rPr>
          <w:rFonts w:ascii="Arial" w:hAnsi="Arial" w:cs="Arial"/>
          <w:b/>
        </w:rPr>
        <w:t>MELALUI PENGAJIAN MANUSKRIP KUNA</w:t>
      </w:r>
    </w:p>
    <w:p w:rsidR="00CB6748" w:rsidRPr="00CB6748" w:rsidRDefault="00CB6748" w:rsidP="00CE566B">
      <w:pPr>
        <w:spacing w:line="360" w:lineRule="auto"/>
        <w:rPr>
          <w:rFonts w:ascii="Arial" w:hAnsi="Arial" w:cs="Arial"/>
        </w:rPr>
      </w:pPr>
    </w:p>
    <w:p w:rsidR="00CB6748" w:rsidRPr="00CB6748" w:rsidRDefault="00CB6748" w:rsidP="00040832">
      <w:pPr>
        <w:spacing w:line="360" w:lineRule="auto"/>
        <w:jc w:val="both"/>
        <w:rPr>
          <w:rFonts w:ascii="Arial" w:hAnsi="Arial" w:cs="Arial"/>
        </w:rPr>
      </w:pPr>
    </w:p>
    <w:p w:rsidR="00CB6748" w:rsidRPr="00CB6748" w:rsidRDefault="000A0656" w:rsidP="00CE566B">
      <w:pPr>
        <w:spacing w:line="360" w:lineRule="auto"/>
        <w:rPr>
          <w:rFonts w:ascii="Arial" w:hAnsi="Arial" w:cs="Arial"/>
        </w:rPr>
      </w:pPr>
      <w:r>
        <w:rPr>
          <w:rFonts w:ascii="Arial" w:hAnsi="Arial" w:cs="Arial"/>
          <w:noProof/>
        </w:rPr>
        <w:drawing>
          <wp:anchor distT="0" distB="0" distL="114300" distR="114300" simplePos="0" relativeHeight="251656704" behindDoc="1" locked="0" layoutInCell="1" allowOverlap="1">
            <wp:simplePos x="0" y="0"/>
            <wp:positionH relativeFrom="column">
              <wp:posOffset>1769745</wp:posOffset>
            </wp:positionH>
            <wp:positionV relativeFrom="paragraph">
              <wp:posOffset>49530</wp:posOffset>
            </wp:positionV>
            <wp:extent cx="1537335" cy="1590675"/>
            <wp:effectExtent l="19050" t="0" r="5715" b="0"/>
            <wp:wrapNone/>
            <wp:docPr id="2" name="Picture 2" descr="UNY-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Y-Black"/>
                    <pic:cNvPicPr>
                      <a:picLocks noChangeAspect="1" noChangeArrowheads="1"/>
                    </pic:cNvPicPr>
                  </pic:nvPicPr>
                  <pic:blipFill>
                    <a:blip r:embed="rId7" cstate="print"/>
                    <a:srcRect/>
                    <a:stretch>
                      <a:fillRect/>
                    </a:stretch>
                  </pic:blipFill>
                  <pic:spPr bwMode="auto">
                    <a:xfrm>
                      <a:off x="0" y="0"/>
                      <a:ext cx="1537335" cy="1590675"/>
                    </a:xfrm>
                    <a:prstGeom prst="rect">
                      <a:avLst/>
                    </a:prstGeom>
                    <a:noFill/>
                    <a:ln w="9525">
                      <a:noFill/>
                      <a:miter lim="800000"/>
                      <a:headEnd/>
                      <a:tailEnd/>
                    </a:ln>
                  </pic:spPr>
                </pic:pic>
              </a:graphicData>
            </a:graphic>
          </wp:anchor>
        </w:drawing>
      </w:r>
    </w:p>
    <w:p w:rsidR="00CB6748" w:rsidRPr="00CB6748" w:rsidRDefault="00CB6748" w:rsidP="00CE566B">
      <w:pPr>
        <w:spacing w:line="360" w:lineRule="auto"/>
        <w:rPr>
          <w:rFonts w:ascii="Arial" w:hAnsi="Arial" w:cs="Arial"/>
        </w:rPr>
      </w:pPr>
    </w:p>
    <w:p w:rsidR="00CB6748" w:rsidRPr="00CB6748" w:rsidRDefault="00CB6748" w:rsidP="00CE566B">
      <w:pPr>
        <w:spacing w:line="360" w:lineRule="auto"/>
        <w:rPr>
          <w:rFonts w:ascii="Arial" w:hAnsi="Arial" w:cs="Arial"/>
        </w:rPr>
      </w:pPr>
    </w:p>
    <w:p w:rsidR="00CB6748" w:rsidRPr="00CB6748" w:rsidRDefault="00CB6748" w:rsidP="00CE566B">
      <w:pPr>
        <w:spacing w:line="360" w:lineRule="auto"/>
        <w:rPr>
          <w:rFonts w:ascii="Arial" w:hAnsi="Arial" w:cs="Arial"/>
        </w:rPr>
      </w:pPr>
    </w:p>
    <w:p w:rsidR="00CB6748" w:rsidRPr="00CB6748" w:rsidRDefault="00CB6748" w:rsidP="00CE566B">
      <w:pPr>
        <w:spacing w:line="360" w:lineRule="auto"/>
        <w:rPr>
          <w:rFonts w:ascii="Arial" w:hAnsi="Arial" w:cs="Arial"/>
        </w:rPr>
      </w:pPr>
    </w:p>
    <w:p w:rsidR="00CB6748" w:rsidRPr="00CB6748" w:rsidRDefault="00CB6748" w:rsidP="00CE566B">
      <w:pPr>
        <w:spacing w:line="360" w:lineRule="auto"/>
        <w:rPr>
          <w:rFonts w:ascii="Arial" w:hAnsi="Arial" w:cs="Arial"/>
        </w:rPr>
      </w:pPr>
    </w:p>
    <w:p w:rsidR="00CB6748" w:rsidRPr="00CB6748" w:rsidRDefault="00CB6748" w:rsidP="00040832">
      <w:pPr>
        <w:spacing w:line="360" w:lineRule="auto"/>
        <w:jc w:val="both"/>
        <w:rPr>
          <w:rFonts w:ascii="Arial" w:hAnsi="Arial" w:cs="Arial"/>
        </w:rPr>
      </w:pPr>
    </w:p>
    <w:p w:rsidR="00CB6748" w:rsidRPr="00995A3F" w:rsidRDefault="00CB6748" w:rsidP="00CE566B">
      <w:pPr>
        <w:spacing w:line="360" w:lineRule="auto"/>
        <w:rPr>
          <w:rFonts w:ascii="Arial" w:hAnsi="Arial" w:cs="Arial"/>
          <w:b/>
        </w:rPr>
      </w:pPr>
    </w:p>
    <w:p w:rsidR="00CB6748" w:rsidRPr="00995A3F" w:rsidRDefault="00995A3F" w:rsidP="00CE566B">
      <w:pPr>
        <w:spacing w:line="360" w:lineRule="auto"/>
        <w:rPr>
          <w:rFonts w:ascii="Arial" w:hAnsi="Arial" w:cs="Arial"/>
          <w:b/>
        </w:rPr>
      </w:pPr>
      <w:r w:rsidRPr="00995A3F">
        <w:rPr>
          <w:rFonts w:ascii="Arial" w:hAnsi="Arial" w:cs="Arial"/>
          <w:b/>
        </w:rPr>
        <w:t>Oleh</w:t>
      </w:r>
    </w:p>
    <w:p w:rsidR="00995A3F" w:rsidRPr="00995A3F" w:rsidRDefault="00995A3F" w:rsidP="00CE566B">
      <w:pPr>
        <w:spacing w:line="360" w:lineRule="auto"/>
        <w:rPr>
          <w:rFonts w:ascii="Arial" w:hAnsi="Arial" w:cs="Arial"/>
          <w:b/>
        </w:rPr>
      </w:pPr>
    </w:p>
    <w:p w:rsidR="001F750D" w:rsidRDefault="00995A3F" w:rsidP="00CE566B">
      <w:pPr>
        <w:spacing w:line="360" w:lineRule="auto"/>
        <w:rPr>
          <w:rFonts w:ascii="Arial" w:hAnsi="Arial" w:cs="Arial"/>
          <w:b/>
        </w:rPr>
      </w:pPr>
      <w:r w:rsidRPr="00995A3F">
        <w:rPr>
          <w:rFonts w:ascii="Arial" w:hAnsi="Arial" w:cs="Arial"/>
          <w:b/>
        </w:rPr>
        <w:t xml:space="preserve">Prof. Endang Nurhayati </w:t>
      </w:r>
    </w:p>
    <w:p w:rsidR="00995A3F" w:rsidRPr="00995A3F" w:rsidRDefault="001F750D" w:rsidP="00CE566B">
      <w:pPr>
        <w:spacing w:line="360" w:lineRule="auto"/>
        <w:rPr>
          <w:rFonts w:ascii="Arial" w:hAnsi="Arial" w:cs="Arial"/>
          <w:b/>
        </w:rPr>
      </w:pPr>
      <w:r>
        <w:rPr>
          <w:rFonts w:ascii="Arial" w:hAnsi="Arial" w:cs="Arial"/>
          <w:b/>
        </w:rPr>
        <w:t>Hesti Mulyani, M. Hum.</w:t>
      </w:r>
    </w:p>
    <w:p w:rsidR="00995A3F" w:rsidRPr="00995A3F" w:rsidRDefault="001F750D" w:rsidP="00CE566B">
      <w:pPr>
        <w:spacing w:line="360" w:lineRule="auto"/>
        <w:rPr>
          <w:rFonts w:ascii="Arial" w:hAnsi="Arial" w:cs="Arial"/>
          <w:b/>
        </w:rPr>
      </w:pPr>
      <w:r>
        <w:rPr>
          <w:rFonts w:ascii="Arial" w:hAnsi="Arial" w:cs="Arial"/>
          <w:b/>
        </w:rPr>
        <w:t>Mulyana, M. Hum.</w:t>
      </w:r>
    </w:p>
    <w:p w:rsidR="00995A3F" w:rsidRPr="00995A3F" w:rsidRDefault="00040832" w:rsidP="00CE566B">
      <w:pPr>
        <w:spacing w:line="360" w:lineRule="auto"/>
        <w:rPr>
          <w:rFonts w:ascii="Arial" w:hAnsi="Arial" w:cs="Arial"/>
          <w:b/>
        </w:rPr>
      </w:pPr>
      <w:r>
        <w:rPr>
          <w:rFonts w:ascii="Arial" w:hAnsi="Arial" w:cs="Arial"/>
          <w:b/>
        </w:rPr>
        <w:t>Venny Indria Ekowati, M</w:t>
      </w:r>
      <w:r w:rsidR="00995A3F" w:rsidRPr="00995A3F">
        <w:rPr>
          <w:rFonts w:ascii="Arial" w:hAnsi="Arial" w:cs="Arial"/>
          <w:b/>
        </w:rPr>
        <w:t>.</w:t>
      </w:r>
      <w:r>
        <w:rPr>
          <w:rFonts w:ascii="Arial" w:hAnsi="Arial" w:cs="Arial"/>
          <w:b/>
        </w:rPr>
        <w:t xml:space="preserve"> Litt.</w:t>
      </w:r>
    </w:p>
    <w:p w:rsidR="00CB6748" w:rsidRPr="00995A3F" w:rsidRDefault="00CB6748" w:rsidP="00CE566B">
      <w:pPr>
        <w:spacing w:line="360" w:lineRule="auto"/>
        <w:rPr>
          <w:rFonts w:ascii="Arial" w:hAnsi="Arial" w:cs="Arial"/>
          <w:b/>
        </w:rPr>
      </w:pPr>
    </w:p>
    <w:p w:rsidR="00CB6748" w:rsidRPr="00995A3F" w:rsidRDefault="00CB6748" w:rsidP="00CE566B">
      <w:pPr>
        <w:tabs>
          <w:tab w:val="left" w:pos="5835"/>
        </w:tabs>
        <w:spacing w:line="360" w:lineRule="auto"/>
        <w:jc w:val="left"/>
        <w:rPr>
          <w:rFonts w:ascii="Arial" w:hAnsi="Arial" w:cs="Arial"/>
          <w:b/>
        </w:rPr>
      </w:pPr>
    </w:p>
    <w:p w:rsidR="00995A3F" w:rsidRDefault="00995A3F" w:rsidP="00CE566B">
      <w:pPr>
        <w:tabs>
          <w:tab w:val="left" w:pos="5835"/>
        </w:tabs>
        <w:spacing w:line="360" w:lineRule="auto"/>
        <w:jc w:val="left"/>
        <w:rPr>
          <w:rFonts w:ascii="Arial" w:hAnsi="Arial" w:cs="Arial"/>
          <w:b/>
        </w:rPr>
      </w:pPr>
    </w:p>
    <w:p w:rsidR="00040832" w:rsidRPr="00995A3F" w:rsidRDefault="00040832" w:rsidP="00CE566B">
      <w:pPr>
        <w:tabs>
          <w:tab w:val="left" w:pos="5835"/>
        </w:tabs>
        <w:spacing w:line="360" w:lineRule="auto"/>
        <w:jc w:val="left"/>
        <w:rPr>
          <w:rFonts w:ascii="Arial" w:hAnsi="Arial" w:cs="Arial"/>
          <w:b/>
        </w:rPr>
      </w:pPr>
    </w:p>
    <w:p w:rsidR="00CB6748" w:rsidRPr="00995A3F" w:rsidRDefault="00995A3F" w:rsidP="00CE566B">
      <w:pPr>
        <w:tabs>
          <w:tab w:val="left" w:pos="5835"/>
        </w:tabs>
        <w:spacing w:line="360" w:lineRule="auto"/>
        <w:rPr>
          <w:rFonts w:ascii="Arial" w:hAnsi="Arial" w:cs="Arial"/>
          <w:b/>
        </w:rPr>
      </w:pPr>
      <w:r w:rsidRPr="00995A3F">
        <w:rPr>
          <w:rFonts w:ascii="Arial" w:hAnsi="Arial" w:cs="Arial"/>
          <w:b/>
        </w:rPr>
        <w:t xml:space="preserve">FAKULTAS BAHASA DAN SENI </w:t>
      </w:r>
    </w:p>
    <w:p w:rsidR="00995A3F" w:rsidRPr="00995A3F" w:rsidRDefault="00995A3F" w:rsidP="00CE566B">
      <w:pPr>
        <w:tabs>
          <w:tab w:val="left" w:pos="5835"/>
        </w:tabs>
        <w:spacing w:line="360" w:lineRule="auto"/>
        <w:rPr>
          <w:rFonts w:ascii="Arial" w:hAnsi="Arial" w:cs="Arial"/>
          <w:b/>
        </w:rPr>
      </w:pPr>
      <w:r w:rsidRPr="00995A3F">
        <w:rPr>
          <w:rFonts w:ascii="Arial" w:hAnsi="Arial" w:cs="Arial"/>
          <w:b/>
        </w:rPr>
        <w:t>UNIVERSITAS NEGERI YOGYAKARTA</w:t>
      </w:r>
    </w:p>
    <w:p w:rsidR="00B11BEF" w:rsidRDefault="00995A3F" w:rsidP="00040832">
      <w:pPr>
        <w:tabs>
          <w:tab w:val="left" w:pos="5835"/>
        </w:tabs>
        <w:spacing w:line="360" w:lineRule="auto"/>
        <w:rPr>
          <w:rFonts w:ascii="Arial" w:hAnsi="Arial" w:cs="Arial"/>
          <w:b/>
        </w:rPr>
        <w:sectPr w:rsidR="00B11BEF" w:rsidSect="00D831C8">
          <w:headerReference w:type="default" r:id="rId8"/>
          <w:pgSz w:w="11907" w:h="16840" w:code="9"/>
          <w:pgMar w:top="2268" w:right="1701" w:bottom="1701" w:left="2268" w:header="709" w:footer="709" w:gutter="0"/>
          <w:pgNumType w:start="0"/>
          <w:cols w:space="708"/>
          <w:docGrid w:linePitch="360"/>
        </w:sectPr>
      </w:pPr>
      <w:r w:rsidRPr="00995A3F">
        <w:rPr>
          <w:rFonts w:ascii="Arial" w:hAnsi="Arial" w:cs="Arial"/>
          <w:b/>
        </w:rPr>
        <w:t>2011</w:t>
      </w:r>
    </w:p>
    <w:p w:rsidR="00CB6748" w:rsidRPr="00E52507" w:rsidRDefault="00CB6748" w:rsidP="00CE566B">
      <w:pPr>
        <w:spacing w:line="360" w:lineRule="auto"/>
        <w:rPr>
          <w:b/>
        </w:rPr>
      </w:pPr>
      <w:r w:rsidRPr="00E52507">
        <w:rPr>
          <w:b/>
        </w:rPr>
        <w:lastRenderedPageBreak/>
        <w:t>BENANG MERAH PEMIKIRAN MELAYU-JAWA</w:t>
      </w:r>
    </w:p>
    <w:p w:rsidR="00CB6748" w:rsidRPr="00E52507" w:rsidRDefault="00CB6748" w:rsidP="00CE566B">
      <w:pPr>
        <w:tabs>
          <w:tab w:val="left" w:pos="5835"/>
        </w:tabs>
        <w:spacing w:line="360" w:lineRule="auto"/>
        <w:rPr>
          <w:b/>
        </w:rPr>
      </w:pPr>
      <w:r w:rsidRPr="00E52507">
        <w:rPr>
          <w:b/>
        </w:rPr>
        <w:t>MELALUI PENGAJIAN MANUSKRIP KUNA</w:t>
      </w:r>
    </w:p>
    <w:p w:rsidR="00CB6748" w:rsidRPr="00E52507" w:rsidRDefault="00CB6748" w:rsidP="00CE566B">
      <w:pPr>
        <w:tabs>
          <w:tab w:val="left" w:pos="5835"/>
        </w:tabs>
        <w:spacing w:line="360" w:lineRule="auto"/>
        <w:jc w:val="both"/>
        <w:rPr>
          <w:b/>
        </w:rPr>
      </w:pPr>
    </w:p>
    <w:p w:rsidR="00CB6748" w:rsidRPr="00E52507" w:rsidRDefault="001E3862" w:rsidP="00CE566B">
      <w:pPr>
        <w:tabs>
          <w:tab w:val="left" w:pos="5835"/>
        </w:tabs>
        <w:spacing w:line="360" w:lineRule="auto"/>
        <w:jc w:val="both"/>
        <w:rPr>
          <w:b/>
        </w:rPr>
      </w:pPr>
      <w:r>
        <w:rPr>
          <w:b/>
        </w:rPr>
        <w:t xml:space="preserve">A. </w:t>
      </w:r>
      <w:r w:rsidR="00CB6748" w:rsidRPr="00E52507">
        <w:rPr>
          <w:b/>
        </w:rPr>
        <w:t>Latar Belakang</w:t>
      </w:r>
    </w:p>
    <w:p w:rsidR="00CB6748" w:rsidRDefault="00721E49" w:rsidP="00CE566B">
      <w:pPr>
        <w:tabs>
          <w:tab w:val="left" w:pos="709"/>
        </w:tabs>
        <w:spacing w:line="360" w:lineRule="auto"/>
        <w:jc w:val="both"/>
      </w:pPr>
      <w:r w:rsidRPr="00E52507">
        <w:tab/>
      </w:r>
      <w:r w:rsidR="00CB6748" w:rsidRPr="00E52507">
        <w:t>Jurusan Pendidikan Bahasa Daerah (PBD), Fakultas Bahasa dan Seni, Universitas Neg</w:t>
      </w:r>
      <w:r w:rsidRPr="00E52507">
        <w:t xml:space="preserve">eri Yogyakarta (FBS UNY) dengan Institut Alam dan Tamadun Melayu, Universiti Kebangsaan Malaysia,  (ATMA UKM) telah menandatangani </w:t>
      </w:r>
      <w:r w:rsidRPr="00E52507">
        <w:rPr>
          <w:i/>
        </w:rPr>
        <w:t xml:space="preserve">Memorandum of Agreement </w:t>
      </w:r>
      <w:r w:rsidRPr="00E52507">
        <w:t xml:space="preserve">atau MoA pada tanggal 23 November 2010. Perjanjian kerjasama ini telah ditandatangani oleh dekan dari masing-masing lembaga. Disebutkan dalam perjanjian kerjasama, bahwa kedua belah pihak akan melakukan berbagai kegiatan kerjasama seperti pertukaran mahasiswa, dosen, kerjasama dalam penerbitan akademik dan pembangunan masyarakat, serta penyelidikan dan seminar bersama. Untuk menindaklanjuti perjanjian kerjasama tersebut, maka akan dilakukan penelitian bersama antara ATMA UKM dengan Jurusan PBD FBS UNY. Langkah pertama rencana penelitian bersama ini adalah dengan menyusun proposal penelitian kerjasama antara dua lembaga. Proposal kerjasama yang akan disusun diancangkan berjudul </w:t>
      </w:r>
      <w:r w:rsidRPr="00E52507">
        <w:rPr>
          <w:i/>
        </w:rPr>
        <w:t>Benang Merah Pemikiran Melayu-Jawa melalui Pengajian Manuskrip Kuna.</w:t>
      </w:r>
    </w:p>
    <w:p w:rsidR="00D91E87" w:rsidRPr="00D91E87" w:rsidRDefault="00D91E87" w:rsidP="00CE566B">
      <w:pPr>
        <w:tabs>
          <w:tab w:val="left" w:pos="709"/>
        </w:tabs>
        <w:spacing w:line="360" w:lineRule="auto"/>
        <w:jc w:val="both"/>
      </w:pPr>
      <w:r>
        <w:tab/>
        <w:t xml:space="preserve">Melayu dan Jawa memang memiliki hubungan yang sudah terjalin sebelum kedatangan bangsa Eropa. Salah satu hubungan yang terjalin tampak dalam karya sastra Melayu dan Jawa. Terutama dalam karya-karya besar yang mengalami transmisi dan berkembang pada bangsa masing-masing. Tentunya unik dan menarik untuk meneliti perkembangan karya-karya sastra besar yang berkembang di Melayu dan Jawa. </w:t>
      </w:r>
    </w:p>
    <w:p w:rsidR="00B109DE" w:rsidRDefault="003337C2" w:rsidP="00CE566B">
      <w:pPr>
        <w:tabs>
          <w:tab w:val="left" w:pos="709"/>
        </w:tabs>
        <w:spacing w:line="360" w:lineRule="auto"/>
        <w:jc w:val="both"/>
      </w:pPr>
      <w:r w:rsidRPr="00E52507">
        <w:tab/>
      </w:r>
      <w:r w:rsidR="00A123AB">
        <w:t>Oleh karena itu, j</w:t>
      </w:r>
      <w:r w:rsidRPr="00E52507">
        <w:t>udul di atas diambil sebagai judul penelitian dengan latar belakang adanya berbagai kesamaan antara karya sastra Jawa dan Melayu. Hubungan antara Melayu-Jawa mengalami pasang surut dari waktu ke waktu. Seperti halnya orang bertetangga, orang Melayu dan Jawa juga mengalami masa-masa ha</w:t>
      </w:r>
      <w:r w:rsidR="00B109DE">
        <w:t xml:space="preserve">rmonis dan masa kurang harmonis. Bahkan hal ini tercermin pula dalam karya sastra kedua suku bangsa ini sejak berabad-abad yang lalu. Pasang surut hubungan Melayu Jawa dapat dirunut melalui berbagai peninggalan sejarah, </w:t>
      </w:r>
      <w:r w:rsidR="00B109DE">
        <w:lastRenderedPageBreak/>
        <w:t>terutama dalam manuskrip. Manuskrip adalah karangan tulisan tangan, baik yang asli maupun salinannya</w:t>
      </w:r>
      <w:r w:rsidR="00C95ED4">
        <w:t xml:space="preserve">. </w:t>
      </w:r>
      <w:r w:rsidR="00B109DE">
        <w:t>Melalui pembacaan terhadap manuskrip Melayu dan manuskrip Jawa yang mempunyai hubungan intetekstual, akan diperoleh berbagai data-data sejarah yang mampu mengungkap hubungan yang terjadi antara suku bangsa Melayu dan Jawa pada masa lampau. Hubungan antara dua suku bangsa ini menarik untuk dikaji lebih lanjut, karena pengarang yang mewakili horison harapan pembaca pada waktu itu dengan jelas menunjukkan superioritasnya masing-masing dan bahkan terkadang memutarbalikkan sejarah demi mengangkat gengsi suku bangsa.</w:t>
      </w:r>
      <w:r w:rsidR="00995A3F">
        <w:t xml:space="preserve"> Hal inilah yang sering memicu ketegangan antara dua belah fihak. Oleh karena itu, melalui penelitian yang representatif, diharapkan dapat mengurai benang kusut realita sejarah masa lampau antara Melayu-Jawa, dan memperoleh benang merah antara Melayu-Jawa melalui karya sastra kedua bangsa.</w:t>
      </w:r>
    </w:p>
    <w:p w:rsidR="001E3862" w:rsidRDefault="00BD5F5A" w:rsidP="00CE566B">
      <w:pPr>
        <w:tabs>
          <w:tab w:val="left" w:pos="709"/>
        </w:tabs>
        <w:spacing w:line="360" w:lineRule="auto"/>
        <w:jc w:val="both"/>
      </w:pPr>
      <w:r>
        <w:tab/>
      </w:r>
      <w:r w:rsidR="00A123AB">
        <w:t xml:space="preserve">Hubungan Melayu-Jawa yang sudah terjalin sejak masa lampau tersebut lambat laun </w:t>
      </w:r>
      <w:r w:rsidR="00D80EE0">
        <w:t xml:space="preserve">terpengaruh oleh faham Erosentrisme. </w:t>
      </w:r>
      <w:r>
        <w:t xml:space="preserve">Pengaruh ini mengakibatkan antara dua suku bangsa saling bersaing dan sentimen. Perlawanan frontal Melayu terhadap dominasi sastra Jawa tampak jelas dalam karya </w:t>
      </w:r>
      <w:r>
        <w:rPr>
          <w:i/>
        </w:rPr>
        <w:t xml:space="preserve">Hikayat Raja Pasai. </w:t>
      </w:r>
      <w:r>
        <w:t>Sebenarnya antara Melayu dan Jawa mempunyai berbagai kesamaan, terutama dalam standar moral dan budi pekerti. Hal ini tampak dalam penelitian-penelitian manuskrip Melayu dan Jawa yang sudah dilakukan.</w:t>
      </w:r>
      <w:r w:rsidR="00A44DB9">
        <w:tab/>
      </w:r>
      <w:r w:rsidR="000F3E5B">
        <w:t xml:space="preserve">Beberapa karya yang dapat mengungkap hubungan antara Melayu Jawa misalnya </w:t>
      </w:r>
      <w:r w:rsidR="000F3E5B">
        <w:rPr>
          <w:i/>
        </w:rPr>
        <w:t xml:space="preserve">Hikayat Hang Tuah, Sulalat Al-Salatin, Bustan Al-Salatin, </w:t>
      </w:r>
      <w:r w:rsidR="000F3E5B">
        <w:t xml:space="preserve">dan </w:t>
      </w:r>
      <w:r w:rsidR="000F3E5B">
        <w:rPr>
          <w:i/>
        </w:rPr>
        <w:t xml:space="preserve">Tajus-Salatin. </w:t>
      </w:r>
      <w:r w:rsidR="000F3E5B">
        <w:t xml:space="preserve">Hikayat Hang Tuah dan Sulalat Al-Salatin memberikan uraian secara khusus mengenai eksistensi Jawa, serta hubungan antara Melayu dan Majapahit. Sedangkan Bustan Al-Salitin dan Tajus Salatin merupakan dua buah karya sastra berkembang pada dua bangsa. Sehingga Bustan Al-Salatin dan Tajus Salatin disalin baik dalam aksara Jawi (aksara Arab yang dipakai untuk menulis dalam bahasa Melayu) dan disalin pula dalam aksara Jawa (aksara Jawa yang dipakai untuk menulis dalam bahasa Jawa). Melalui penelitian terhadap naskah ini, tentunya akan diperoleh benang merah pemikiran antara Melayu-Jawa, dengan kajian sastra perbandingan. Serta kajian sosiologi </w:t>
      </w:r>
      <w:r w:rsidR="000F3E5B">
        <w:lastRenderedPageBreak/>
        <w:t>sastra terhadap Hikayat Hang Tuah dan Sulalat Al-Salatin untuk memperoleh gambaran mengenai kesejarahan hubungan bangsa Melayu-Jawa.</w:t>
      </w:r>
    </w:p>
    <w:p w:rsidR="00A123AB" w:rsidRDefault="00A123AB" w:rsidP="00A123AB">
      <w:pPr>
        <w:tabs>
          <w:tab w:val="left" w:pos="284"/>
        </w:tabs>
        <w:spacing w:line="360" w:lineRule="auto"/>
        <w:ind w:left="340"/>
        <w:jc w:val="both"/>
        <w:rPr>
          <w:b/>
        </w:rPr>
      </w:pPr>
    </w:p>
    <w:p w:rsidR="001E3862" w:rsidRPr="001E3862" w:rsidRDefault="001E3862" w:rsidP="00CE566B">
      <w:pPr>
        <w:numPr>
          <w:ilvl w:val="0"/>
          <w:numId w:val="10"/>
        </w:numPr>
        <w:tabs>
          <w:tab w:val="left" w:pos="284"/>
        </w:tabs>
        <w:spacing w:line="360" w:lineRule="auto"/>
        <w:ind w:left="340"/>
        <w:jc w:val="both"/>
        <w:rPr>
          <w:b/>
        </w:rPr>
      </w:pPr>
      <w:r w:rsidRPr="001E3862">
        <w:rPr>
          <w:b/>
        </w:rPr>
        <w:t>Kajian Pustaka</w:t>
      </w:r>
    </w:p>
    <w:p w:rsidR="001E3862" w:rsidRDefault="001E3862" w:rsidP="00CE566B">
      <w:pPr>
        <w:spacing w:line="360" w:lineRule="auto"/>
        <w:ind w:firstLine="720"/>
        <w:jc w:val="both"/>
      </w:pPr>
      <w:r>
        <w:t xml:space="preserve">Manuskrip Jawa atau naskah Jawa adalah ‘karangan tulisan tangan, baik yang asli maupun salinannya’ (Onions, 1974: 554; Darusuprapta, 1985). Naskah atau manuskrip Jawa itu ditulis menggunakan bahasa Jawa, baik bahasa Jawa Kuna, Jawa Pertengahan, maupun Jawa Baru, yang ditulis dengan aksara Jawa, Arab </w:t>
      </w:r>
      <w:r>
        <w:rPr>
          <w:i/>
        </w:rPr>
        <w:t>Pegon</w:t>
      </w:r>
      <w:r>
        <w:t xml:space="preserve"> atau Arab </w:t>
      </w:r>
      <w:r>
        <w:rPr>
          <w:i/>
        </w:rPr>
        <w:t>Gondhil</w:t>
      </w:r>
      <w:r>
        <w:t>, Latin, dan lain-lain, pada bahan tulis lontar, daluwang, dan kertas pada umumnya.</w:t>
      </w:r>
    </w:p>
    <w:p w:rsidR="001E3862" w:rsidRDefault="001E3862" w:rsidP="00CE566B">
      <w:pPr>
        <w:spacing w:line="360" w:lineRule="auto"/>
        <w:ind w:firstLine="720"/>
        <w:jc w:val="both"/>
      </w:pPr>
      <w:r>
        <w:t xml:space="preserve"> Untuk mengetahui keberadaan </w:t>
      </w:r>
      <w:r w:rsidR="008959E7">
        <w:t>manuskrip Jawa dipusatkan pada empat</w:t>
      </w:r>
      <w:r>
        <w:t xml:space="preserve"> hal. Keempat hal tentang keberadaan manuskrip Jawa itu adalah (1) bentuk manuskrip Jawa, (2) jenis, (3) tempat penyimpanan, dan (4) penelitin yang pernah dilakukan terhadap manuskrip Jawa. Secara berturut-turut keempat hal keberadaan manuskrip Jawa itu diuraikan sebagai berikut.</w:t>
      </w:r>
    </w:p>
    <w:p w:rsidR="00CE566B" w:rsidRPr="00CE566B" w:rsidRDefault="00CE566B" w:rsidP="00CE566B">
      <w:pPr>
        <w:spacing w:line="360" w:lineRule="auto"/>
        <w:ind w:firstLine="720"/>
        <w:jc w:val="both"/>
      </w:pPr>
    </w:p>
    <w:p w:rsidR="001E3862" w:rsidRPr="0013180F" w:rsidRDefault="001E3862" w:rsidP="00CE566B">
      <w:pPr>
        <w:numPr>
          <w:ilvl w:val="0"/>
          <w:numId w:val="13"/>
        </w:numPr>
        <w:spacing w:line="360" w:lineRule="auto"/>
        <w:ind w:left="340"/>
        <w:jc w:val="both"/>
        <w:rPr>
          <w:b/>
        </w:rPr>
      </w:pPr>
      <w:r w:rsidRPr="0013180F">
        <w:rPr>
          <w:b/>
        </w:rPr>
        <w:t>Bentuk Manuskrip Jawa</w:t>
      </w:r>
    </w:p>
    <w:p w:rsidR="001E3862" w:rsidRDefault="001E3862" w:rsidP="00CE566B">
      <w:pPr>
        <w:spacing w:line="360" w:lineRule="auto"/>
        <w:ind w:firstLine="720"/>
        <w:jc w:val="both"/>
      </w:pPr>
      <w:r>
        <w:t xml:space="preserve">Bentuk manuskrip Jawa ada tiga macam, yakni prosa, puisi, dan drama. Teks manuskrip Jawa dalam bentuk prosa adalah teks yang diuraikan berdasarkan rangkaian kalimat. Teks manuskrip Jawa dalam bentuk puisi adalah teks yang diuraikan berdasarkan rangkaian kelompok kata yang digubah berdasarkan aturan perpuisian yang ada. Misalnya, teks yang ditulis dengan bahasa Jawa Kuna digubah dalam bentuk </w:t>
      </w:r>
      <w:r>
        <w:rPr>
          <w:i/>
        </w:rPr>
        <w:t>kakawin</w:t>
      </w:r>
      <w:r>
        <w:t xml:space="preserve">. Teks yang ditulis dengan bahasa Jawa Pertengan digubah dalam bentuk </w:t>
      </w:r>
      <w:r>
        <w:rPr>
          <w:i/>
        </w:rPr>
        <w:t>kidung</w:t>
      </w:r>
      <w:r>
        <w:t xml:space="preserve">. Teks yang ditulis dengan bahasa Baru digubah dalam bentuk </w:t>
      </w:r>
      <w:r>
        <w:rPr>
          <w:i/>
        </w:rPr>
        <w:t xml:space="preserve">tembang macapat </w:t>
      </w:r>
      <w:r>
        <w:t xml:space="preserve">dengan aturan tertentu atau </w:t>
      </w:r>
      <w:r>
        <w:rPr>
          <w:i/>
        </w:rPr>
        <w:t xml:space="preserve">geguritan </w:t>
      </w:r>
      <w:r>
        <w:t>yang merupakan puisi bebas.</w:t>
      </w:r>
    </w:p>
    <w:p w:rsidR="00CE566B" w:rsidRPr="00A123AB" w:rsidRDefault="001E3862" w:rsidP="00A123AB">
      <w:pPr>
        <w:spacing w:line="360" w:lineRule="auto"/>
        <w:ind w:firstLine="720"/>
        <w:jc w:val="both"/>
      </w:pPr>
      <w:r>
        <w:t xml:space="preserve"> Teks yang ditulis dengan bahasa, baik bahasa Jawa Kuna, Jawa Pertengahan maupun Jawa Baru digubah dalam bentuk percakapan atau dialog disebut teks berbentuk drama. Teks drama itu dapat disampaikan dengan cara menggabungkan antara teks prosa dengan teks drama atau teks puisi dengan teks drama.</w:t>
      </w:r>
    </w:p>
    <w:p w:rsidR="001E3862" w:rsidRPr="0013180F" w:rsidRDefault="001E3862" w:rsidP="00CE566B">
      <w:pPr>
        <w:numPr>
          <w:ilvl w:val="0"/>
          <w:numId w:val="13"/>
        </w:numPr>
        <w:spacing w:line="360" w:lineRule="auto"/>
        <w:ind w:left="340"/>
        <w:jc w:val="both"/>
        <w:rPr>
          <w:b/>
        </w:rPr>
      </w:pPr>
      <w:r w:rsidRPr="0013180F">
        <w:rPr>
          <w:b/>
        </w:rPr>
        <w:lastRenderedPageBreak/>
        <w:t>Jenis Manuskrip Jawa</w:t>
      </w:r>
    </w:p>
    <w:p w:rsidR="001E3862" w:rsidRDefault="001E3862" w:rsidP="00CE566B">
      <w:pPr>
        <w:spacing w:line="360" w:lineRule="auto"/>
        <w:ind w:firstLine="720"/>
        <w:jc w:val="both"/>
      </w:pPr>
      <w:r>
        <w:t xml:space="preserve">Jenis manuskrip Jawa berdasarkan buku </w:t>
      </w:r>
      <w:r>
        <w:rPr>
          <w:i/>
        </w:rPr>
        <w:t>K</w:t>
      </w:r>
      <w:r w:rsidRPr="00DC3A9B">
        <w:rPr>
          <w:i/>
        </w:rPr>
        <w:t>atalog</w:t>
      </w:r>
      <w:r>
        <w:rPr>
          <w:i/>
        </w:rPr>
        <w:t xml:space="preserve"> Induk Naskah-naskah Nusantara Jilid I: Museum Sonobudoyo Yogyakarta </w:t>
      </w:r>
      <w:r>
        <w:t xml:space="preserve">(Behrend, 1990: x-xiii) dibagi menjadi 14 macam jenis. Keempat belas macam jenis itu dikelompokkan berdasarkan isi teks atau kategori menurut jenisnya adalah sebagai berikut. </w:t>
      </w:r>
    </w:p>
    <w:p w:rsidR="001E3862" w:rsidRDefault="001E3862" w:rsidP="00CE566B">
      <w:pPr>
        <w:numPr>
          <w:ilvl w:val="0"/>
          <w:numId w:val="20"/>
        </w:numPr>
        <w:spacing w:line="360" w:lineRule="auto"/>
        <w:ind w:left="426" w:hanging="256"/>
        <w:jc w:val="both"/>
      </w:pPr>
      <w:r>
        <w:t xml:space="preserve">Sejarah, yakni mencakup segala macam </w:t>
      </w:r>
      <w:r>
        <w:rPr>
          <w:i/>
        </w:rPr>
        <w:t xml:space="preserve">babad </w:t>
      </w:r>
      <w:r>
        <w:t>yang menguraikan peristiwa historis dan legendaris.</w:t>
      </w:r>
    </w:p>
    <w:p w:rsidR="001E3862" w:rsidRDefault="001E3862" w:rsidP="00CE566B">
      <w:pPr>
        <w:numPr>
          <w:ilvl w:val="0"/>
          <w:numId w:val="20"/>
        </w:numPr>
        <w:spacing w:line="360" w:lineRule="auto"/>
        <w:ind w:left="426" w:hanging="256"/>
        <w:jc w:val="both"/>
      </w:pPr>
      <w:r>
        <w:t>Silsilah, yakni teks sejarah yang menuliskan penjabaran silsilah para raja Jawa.</w:t>
      </w:r>
    </w:p>
    <w:p w:rsidR="001E3862" w:rsidRDefault="001E3862" w:rsidP="00CE566B">
      <w:pPr>
        <w:numPr>
          <w:ilvl w:val="0"/>
          <w:numId w:val="20"/>
        </w:numPr>
        <w:spacing w:line="360" w:lineRule="auto"/>
        <w:ind w:left="426" w:hanging="256"/>
        <w:jc w:val="both"/>
      </w:pPr>
      <w:r>
        <w:t>Hukum, meliputi teks yang menguraikan tentang hukum, peraturan, dan adat istiadat di keraton Jawa.</w:t>
      </w:r>
    </w:p>
    <w:p w:rsidR="001E3862" w:rsidRDefault="001E3862" w:rsidP="00CE566B">
      <w:pPr>
        <w:numPr>
          <w:ilvl w:val="0"/>
          <w:numId w:val="20"/>
        </w:numPr>
        <w:spacing w:line="360" w:lineRule="auto"/>
        <w:ind w:left="426" w:hanging="256"/>
        <w:jc w:val="both"/>
      </w:pPr>
      <w:r>
        <w:t xml:space="preserve">Wayang, mencakup teks yang menguraikan tentang cerita wayang untuk lakon-lakon </w:t>
      </w:r>
      <w:r w:rsidRPr="002A4312">
        <w:rPr>
          <w:i/>
        </w:rPr>
        <w:t>wayang</w:t>
      </w:r>
      <w:r>
        <w:t xml:space="preserve"> </w:t>
      </w:r>
      <w:r w:rsidRPr="002A4312">
        <w:rPr>
          <w:i/>
        </w:rPr>
        <w:t>purwa</w:t>
      </w:r>
      <w:r>
        <w:t xml:space="preserve">, </w:t>
      </w:r>
      <w:r w:rsidRPr="002A4312">
        <w:rPr>
          <w:i/>
        </w:rPr>
        <w:t>wayang madya</w:t>
      </w:r>
      <w:r>
        <w:t xml:space="preserve">, </w:t>
      </w:r>
      <w:r w:rsidRPr="002A4312">
        <w:rPr>
          <w:i/>
        </w:rPr>
        <w:t>wayang golek</w:t>
      </w:r>
      <w:r>
        <w:t xml:space="preserve">, </w:t>
      </w:r>
      <w:r w:rsidRPr="002A4312">
        <w:rPr>
          <w:i/>
        </w:rPr>
        <w:t>wayang gedhog</w:t>
      </w:r>
      <w:r>
        <w:t xml:space="preserve">, </w:t>
      </w:r>
      <w:r w:rsidRPr="002A4312">
        <w:rPr>
          <w:i/>
        </w:rPr>
        <w:t>wayang wong</w:t>
      </w:r>
      <w:r>
        <w:t xml:space="preserve">, dan sebagainya. Pada umumnya, teks wayang disampaikan dalam bentuk prosa. </w:t>
      </w:r>
    </w:p>
    <w:p w:rsidR="001E3862" w:rsidRDefault="001E3862" w:rsidP="00CE566B">
      <w:pPr>
        <w:numPr>
          <w:ilvl w:val="0"/>
          <w:numId w:val="20"/>
        </w:numPr>
        <w:spacing w:line="360" w:lineRule="auto"/>
        <w:ind w:left="426" w:hanging="256"/>
        <w:jc w:val="both"/>
      </w:pPr>
      <w:r>
        <w:t xml:space="preserve">Sastra Wayang, meliputi teks yang kebanyakan saduran dari </w:t>
      </w:r>
      <w:r>
        <w:rPr>
          <w:i/>
        </w:rPr>
        <w:t xml:space="preserve">pakem wayang </w:t>
      </w:r>
      <w:r>
        <w:t xml:space="preserve">yang digubah dalam bentuk </w:t>
      </w:r>
      <w:r>
        <w:rPr>
          <w:i/>
        </w:rPr>
        <w:t>tembang macapat</w:t>
      </w:r>
      <w:r>
        <w:t>.</w:t>
      </w:r>
    </w:p>
    <w:p w:rsidR="001E3862" w:rsidRDefault="001E3862" w:rsidP="00CE566B">
      <w:pPr>
        <w:numPr>
          <w:ilvl w:val="0"/>
          <w:numId w:val="20"/>
        </w:numPr>
        <w:spacing w:line="360" w:lineRule="auto"/>
        <w:ind w:left="426" w:hanging="256"/>
        <w:jc w:val="both"/>
      </w:pPr>
      <w:r>
        <w:t>Sastra, yakni kelompok teks berjenis sastra yang ditulis dalam bentuk prosa dan puisi.</w:t>
      </w:r>
    </w:p>
    <w:p w:rsidR="001E3862" w:rsidRDefault="001E3862" w:rsidP="00CE566B">
      <w:pPr>
        <w:numPr>
          <w:ilvl w:val="0"/>
          <w:numId w:val="20"/>
        </w:numPr>
        <w:spacing w:line="360" w:lineRule="auto"/>
        <w:ind w:left="426" w:hanging="256"/>
        <w:jc w:val="both"/>
      </w:pPr>
      <w:r>
        <w:rPr>
          <w:i/>
        </w:rPr>
        <w:t>Piwulang</w:t>
      </w:r>
      <w:r>
        <w:t xml:space="preserve">, yakni teks yang berisi ajaran para orang saleh, suci, dan bijaksana. Sebagian teks berisi ajaran keislaman dan sebagaian besar lainnya berisi ajaran </w:t>
      </w:r>
      <w:r>
        <w:rPr>
          <w:i/>
        </w:rPr>
        <w:t>kejawen</w:t>
      </w:r>
      <w:r>
        <w:t xml:space="preserve">. Di samping itu, jenis sastra kebijaksanaan yang digubah dalam bentuk puisi, yakni </w:t>
      </w:r>
      <w:r>
        <w:rPr>
          <w:i/>
        </w:rPr>
        <w:t xml:space="preserve">suluk </w:t>
      </w:r>
      <w:r>
        <w:t xml:space="preserve">juga dimasukkan dalam kategori </w:t>
      </w:r>
      <w:r>
        <w:rPr>
          <w:i/>
        </w:rPr>
        <w:t>piwulang</w:t>
      </w:r>
      <w:r>
        <w:t>.</w:t>
      </w:r>
    </w:p>
    <w:p w:rsidR="001E3862" w:rsidRDefault="001E3862" w:rsidP="00CE566B">
      <w:pPr>
        <w:numPr>
          <w:ilvl w:val="0"/>
          <w:numId w:val="20"/>
        </w:numPr>
        <w:spacing w:line="360" w:lineRule="auto"/>
        <w:ind w:left="426" w:hanging="256"/>
        <w:jc w:val="both"/>
      </w:pPr>
      <w:r>
        <w:t xml:space="preserve">Islam, meliputi teks yang menguraian tentang </w:t>
      </w:r>
      <w:r>
        <w:rPr>
          <w:i/>
        </w:rPr>
        <w:t>fiqih</w:t>
      </w:r>
      <w:r>
        <w:t xml:space="preserve">, syarat, dan hukum juga teks turunan kitab suci Al-Quran, yang ditulis dengan huruf Arab dan Arab </w:t>
      </w:r>
      <w:r>
        <w:rPr>
          <w:i/>
        </w:rPr>
        <w:t>Pegon</w:t>
      </w:r>
      <w:r>
        <w:t>.</w:t>
      </w:r>
    </w:p>
    <w:p w:rsidR="001E3862" w:rsidRDefault="001E3862" w:rsidP="00CE566B">
      <w:pPr>
        <w:numPr>
          <w:ilvl w:val="0"/>
          <w:numId w:val="20"/>
        </w:numPr>
        <w:spacing w:line="360" w:lineRule="auto"/>
        <w:ind w:left="397" w:hanging="256"/>
        <w:jc w:val="both"/>
        <w:rPr>
          <w:i/>
        </w:rPr>
      </w:pPr>
      <w:r>
        <w:rPr>
          <w:i/>
        </w:rPr>
        <w:t>Primbon</w:t>
      </w:r>
      <w:r>
        <w:t xml:space="preserve">, meliputi teks yang menguraikan tentang kemujuran dan kemalangan kehidupan manusia berdasarkan ilmu-ilmu tradisional, termasuk buku </w:t>
      </w:r>
      <w:r>
        <w:rPr>
          <w:i/>
        </w:rPr>
        <w:t>petangan</w:t>
      </w:r>
      <w:r>
        <w:t xml:space="preserve">, </w:t>
      </w:r>
      <w:r>
        <w:rPr>
          <w:i/>
        </w:rPr>
        <w:t>pawukon</w:t>
      </w:r>
      <w:r>
        <w:t xml:space="preserve">, dan </w:t>
      </w:r>
      <w:r>
        <w:rPr>
          <w:i/>
        </w:rPr>
        <w:t>impen.</w:t>
      </w:r>
    </w:p>
    <w:p w:rsidR="001E3862" w:rsidRPr="00914E6B" w:rsidRDefault="001E3862" w:rsidP="00CE566B">
      <w:pPr>
        <w:numPr>
          <w:ilvl w:val="0"/>
          <w:numId w:val="20"/>
        </w:numPr>
        <w:spacing w:line="360" w:lineRule="auto"/>
        <w:ind w:left="397" w:hanging="256"/>
        <w:jc w:val="both"/>
      </w:pPr>
      <w:r>
        <w:t xml:space="preserve">Bahasa, meliputi kelompok teks yang menguraikan tentang bahasa dan kesusastraan Jawa, terutama jenis kamus istilah kawi yang dikenal dengan </w:t>
      </w:r>
      <w:r>
        <w:lastRenderedPageBreak/>
        <w:t xml:space="preserve">nama </w:t>
      </w:r>
      <w:r>
        <w:rPr>
          <w:i/>
        </w:rPr>
        <w:t xml:space="preserve">bausastra </w:t>
      </w:r>
      <w:r>
        <w:t xml:space="preserve">atau </w:t>
      </w:r>
      <w:r>
        <w:rPr>
          <w:i/>
        </w:rPr>
        <w:t>dasanama kawi jarwa</w:t>
      </w:r>
      <w:r>
        <w:t xml:space="preserve">. Juga, terdapat teks tentang </w:t>
      </w:r>
      <w:r w:rsidRPr="000A6DFD">
        <w:rPr>
          <w:i/>
        </w:rPr>
        <w:t>tembang</w:t>
      </w:r>
      <w:r>
        <w:t xml:space="preserve">, aksara Jawa, </w:t>
      </w:r>
      <w:r>
        <w:rPr>
          <w:i/>
        </w:rPr>
        <w:t>candrasengkala</w:t>
      </w:r>
      <w:r>
        <w:t xml:space="preserve">, daftar sinonim, dan </w:t>
      </w:r>
      <w:r>
        <w:rPr>
          <w:i/>
        </w:rPr>
        <w:t>wangsalan</w:t>
      </w:r>
      <w:r>
        <w:t>.</w:t>
      </w:r>
    </w:p>
    <w:p w:rsidR="001E3862" w:rsidRDefault="001E3862" w:rsidP="00CE566B">
      <w:pPr>
        <w:numPr>
          <w:ilvl w:val="0"/>
          <w:numId w:val="20"/>
        </w:numPr>
        <w:spacing w:line="360" w:lineRule="auto"/>
        <w:ind w:left="454" w:hanging="256"/>
        <w:jc w:val="both"/>
      </w:pPr>
      <w:r>
        <w:t xml:space="preserve">Musik, kategori teks yang menguraikan notasi </w:t>
      </w:r>
      <w:r>
        <w:rPr>
          <w:i/>
        </w:rPr>
        <w:t xml:space="preserve">gendhing </w:t>
      </w:r>
      <w:r>
        <w:t>Jawa dari Surakarta dan Yogyakarta serta catatan-catatan lain tentang dunia gamelan.</w:t>
      </w:r>
    </w:p>
    <w:p w:rsidR="001E3862" w:rsidRDefault="001E3862" w:rsidP="00CE566B">
      <w:pPr>
        <w:numPr>
          <w:ilvl w:val="0"/>
          <w:numId w:val="20"/>
        </w:numPr>
        <w:spacing w:line="360" w:lineRule="auto"/>
        <w:ind w:left="397" w:hanging="256"/>
        <w:jc w:val="both"/>
      </w:pPr>
      <w:r>
        <w:t>Tari-tarian, meliputi teks tentang seni tari Jawa dan kelengkapannya.</w:t>
      </w:r>
    </w:p>
    <w:p w:rsidR="001E3862" w:rsidRDefault="001E3862" w:rsidP="00CE566B">
      <w:pPr>
        <w:numPr>
          <w:ilvl w:val="0"/>
          <w:numId w:val="20"/>
        </w:numPr>
        <w:spacing w:line="360" w:lineRule="auto"/>
        <w:ind w:left="426" w:hanging="172"/>
        <w:jc w:val="both"/>
      </w:pPr>
      <w:r>
        <w:t xml:space="preserve">Adat-istiadat, meliputi kategori teks tentang berbagai macam kebiasaan dan kerajinan di pulau Jawa, baik di kalangan rakyat kecil maupun di keraton, termasuk cara berpakaian, </w:t>
      </w:r>
      <w:r>
        <w:rPr>
          <w:i/>
        </w:rPr>
        <w:t>songsong</w:t>
      </w:r>
      <w:r>
        <w:t xml:space="preserve">, mainan, sopan santun di dalam istana, </w:t>
      </w:r>
      <w:r>
        <w:rPr>
          <w:i/>
        </w:rPr>
        <w:t>sadranan</w:t>
      </w:r>
      <w:r>
        <w:t>, keris, upacara, dan sebagainya.</w:t>
      </w:r>
    </w:p>
    <w:p w:rsidR="001E3862" w:rsidRPr="00914E6B" w:rsidRDefault="001E3862" w:rsidP="00CE566B">
      <w:pPr>
        <w:numPr>
          <w:ilvl w:val="0"/>
          <w:numId w:val="20"/>
        </w:numPr>
        <w:spacing w:line="360" w:lineRule="auto"/>
        <w:ind w:left="454" w:hanging="256"/>
        <w:jc w:val="both"/>
      </w:pPr>
      <w:r>
        <w:t xml:space="preserve">Lain-lain, kategori ini berisi teks-teks lain yang tidak terdapat dalam kategori di atas.  </w:t>
      </w:r>
    </w:p>
    <w:p w:rsidR="001E3862" w:rsidRPr="002D20E3" w:rsidRDefault="001E3862" w:rsidP="00CE566B">
      <w:pPr>
        <w:spacing w:line="360" w:lineRule="auto"/>
        <w:ind w:left="567" w:hanging="360"/>
        <w:jc w:val="both"/>
      </w:pPr>
      <w:r>
        <w:t xml:space="preserve"> </w:t>
      </w:r>
    </w:p>
    <w:p w:rsidR="001E3862" w:rsidRDefault="001E3862" w:rsidP="00CE566B">
      <w:pPr>
        <w:numPr>
          <w:ilvl w:val="0"/>
          <w:numId w:val="13"/>
        </w:numPr>
        <w:spacing w:line="360" w:lineRule="auto"/>
        <w:ind w:left="340"/>
        <w:jc w:val="both"/>
        <w:rPr>
          <w:b/>
        </w:rPr>
      </w:pPr>
      <w:r>
        <w:rPr>
          <w:b/>
        </w:rPr>
        <w:t>T</w:t>
      </w:r>
      <w:r w:rsidRPr="0013180F">
        <w:rPr>
          <w:b/>
        </w:rPr>
        <w:t xml:space="preserve">empat </w:t>
      </w:r>
      <w:r>
        <w:rPr>
          <w:b/>
        </w:rPr>
        <w:t>P</w:t>
      </w:r>
      <w:r w:rsidRPr="0013180F">
        <w:rPr>
          <w:b/>
        </w:rPr>
        <w:t>enyimpanan</w:t>
      </w:r>
    </w:p>
    <w:p w:rsidR="001E3862" w:rsidRDefault="001E3862" w:rsidP="00CE566B">
      <w:pPr>
        <w:spacing w:line="360" w:lineRule="auto"/>
        <w:ind w:firstLine="720"/>
        <w:jc w:val="both"/>
      </w:pPr>
      <w:r>
        <w:t>Manuskrip Jawa disimpan oleh para kolektor, baik kolektor pemerintah, kolektor swasta maupun kolektor pribadi. Para kolektor itu tersebar luas, baik di Indonesia maupun di luar Indonesia. Tempat penyimpanan manuskrip Jawa dapat diketahui berdasarkan keterangan yang dad di dalam katalogus. Misalnya, ada di Bagian Manuskrip Museum Nasional Jakarta (Darusuprapta, 1985), Gedong Kirtya Singaraja Bali, khusus manuskrip Jawa Kuna dan Jawa Pertengahan, Bagian manuskrip perpustakaan Leiden Nederland, dan beberapa perpustakaan di Britania Raya.</w:t>
      </w:r>
    </w:p>
    <w:p w:rsidR="001E3862" w:rsidRDefault="001E3862" w:rsidP="00CE566B">
      <w:pPr>
        <w:spacing w:line="360" w:lineRule="auto"/>
        <w:ind w:firstLine="720"/>
        <w:jc w:val="both"/>
      </w:pPr>
      <w:r>
        <w:t xml:space="preserve">Manuskrip-manuskrip Jawa yang ada di pusat kebudayaan, banyak di simpan di </w:t>
      </w:r>
      <w:r>
        <w:rPr>
          <w:i/>
        </w:rPr>
        <w:t>Tepas Kapujanggan Widyabudaya Kasultanan Yogyakarta</w:t>
      </w:r>
      <w:r w:rsidRPr="00EA5EC3">
        <w:t>,</w:t>
      </w:r>
      <w:r>
        <w:rPr>
          <w:i/>
        </w:rPr>
        <w:t xml:space="preserve"> </w:t>
      </w:r>
      <w:r w:rsidRPr="00EA5EC3">
        <w:t>perpustakaan Pura Pakualaman</w:t>
      </w:r>
      <w:r>
        <w:t xml:space="preserve"> Yogyakarta, Museum Sanabudaya Yogyakarta, Sanapustaka Ketaron Surakarta, Reksapustaka Pura Mangkunagaran Surakarta, dan Museum Radyapustaka Surakarta (Girardet, 1983).</w:t>
      </w:r>
    </w:p>
    <w:p w:rsidR="001E3862" w:rsidRDefault="001E3862" w:rsidP="00CE566B">
      <w:pPr>
        <w:spacing w:line="360" w:lineRule="auto"/>
        <w:ind w:firstLine="720"/>
        <w:jc w:val="both"/>
      </w:pPr>
      <w:r>
        <w:t xml:space="preserve">Koleksi manuskrip Jawa yang lainnya ada di Balai Bahasa di Yogyakarta, Balai Kajian Sejarah dan Nilai-nilai Tradisional di Yogyakarta, Dewantara Kirti Griya di Yogyakarta, dan di beberapa lembaga perpustakaan perguruan tinggi. Di samping itu, </w:t>
      </w:r>
      <w:r w:rsidR="00FE0E3C">
        <w:t xml:space="preserve">manuskrip </w:t>
      </w:r>
      <w:r>
        <w:t xml:space="preserve">juga disimpan di beberapa pemerintah daerah, misalnya Banyuwangi dan Sumenep. Bahkan, ada manuskrip Jawa yang belum tercatat </w:t>
      </w:r>
      <w:r>
        <w:lastRenderedPageBreak/>
        <w:t xml:space="preserve">yang tersebar luas di kalangan masyarakat sebagai kolektor pribadi (Darusuprapta, 1985). </w:t>
      </w:r>
    </w:p>
    <w:p w:rsidR="00CE566B" w:rsidRPr="003A20A7" w:rsidRDefault="00CE566B" w:rsidP="00CE566B">
      <w:pPr>
        <w:spacing w:line="360" w:lineRule="auto"/>
        <w:ind w:firstLine="720"/>
        <w:jc w:val="both"/>
      </w:pPr>
    </w:p>
    <w:p w:rsidR="001E3862" w:rsidRDefault="001E3862" w:rsidP="00CE566B">
      <w:pPr>
        <w:numPr>
          <w:ilvl w:val="0"/>
          <w:numId w:val="13"/>
        </w:numPr>
        <w:spacing w:line="360" w:lineRule="auto"/>
        <w:ind w:left="340"/>
        <w:jc w:val="both"/>
        <w:rPr>
          <w:b/>
        </w:rPr>
      </w:pPr>
      <w:r>
        <w:rPr>
          <w:b/>
        </w:rPr>
        <w:t>P</w:t>
      </w:r>
      <w:r w:rsidRPr="0013180F">
        <w:rPr>
          <w:b/>
        </w:rPr>
        <w:t>eneliti</w:t>
      </w:r>
      <w:r>
        <w:rPr>
          <w:b/>
        </w:rPr>
        <w:t>a</w:t>
      </w:r>
      <w:r w:rsidRPr="0013180F">
        <w:rPr>
          <w:b/>
        </w:rPr>
        <w:t xml:space="preserve">n yang </w:t>
      </w:r>
      <w:r>
        <w:rPr>
          <w:b/>
        </w:rPr>
        <w:t>P</w:t>
      </w:r>
      <w:r w:rsidRPr="0013180F">
        <w:rPr>
          <w:b/>
        </w:rPr>
        <w:t xml:space="preserve">ernah </w:t>
      </w:r>
      <w:r>
        <w:rPr>
          <w:b/>
        </w:rPr>
        <w:t>D</w:t>
      </w:r>
      <w:r w:rsidRPr="0013180F">
        <w:rPr>
          <w:b/>
        </w:rPr>
        <w:t xml:space="preserve">ilakukan terhadap </w:t>
      </w:r>
      <w:r>
        <w:rPr>
          <w:b/>
        </w:rPr>
        <w:t>M</w:t>
      </w:r>
      <w:r w:rsidRPr="0013180F">
        <w:rPr>
          <w:b/>
        </w:rPr>
        <w:t>anuskrip Jawa</w:t>
      </w:r>
    </w:p>
    <w:p w:rsidR="001E3862" w:rsidRDefault="001E3862" w:rsidP="00CE566B">
      <w:pPr>
        <w:spacing w:line="360" w:lineRule="auto"/>
        <w:ind w:firstLine="720"/>
        <w:jc w:val="both"/>
      </w:pPr>
      <w:r w:rsidRPr="0005078F">
        <w:t>Demi untuk melestarikan keberadaan manuskrip Jawa</w:t>
      </w:r>
      <w:r>
        <w:t xml:space="preserve"> perlu diadakan penanganan manuskrip Jawa secara khusus. Penanganan manuskrip Jawa itu setidaknya ada lima macam, yaitu penyelamatan, pelestarian, penelitian, pendayagunaan, dan penyebarluasan. Pertama, kegiatan penyelamatan manuskrip Jawa dilakukan dengan membeli manuskrip milik perseorangan, perbaikan terhadap manuskrip yang rusak, memelihara kebersihannya dari debu dan serangan serangga, menyusunnya dalam daftar inventaris dan katalogus. Kedua, kegiatan pelestarian manuskrip Jawa dilakukan dengan membuat salinan atau turunan manuskrip, baik dengan transkripsi maupun dengan transliterasi. Ketiga, kegiatan penelitian manuskrip Jawa dilakukan dengan meneliti dari segi bahasa, sastra, atau budayanya, baik dengan interpretasi maupun analisis. Keempat, kegiatan pendayagunaan manuskrip Jawa dilakukan dengan mengangkat relevansi isi teks untuk didayagunakan pada kehidupan masyarakat masa kini. Kelima, kegiatan penyebarluasan manuskrip Jawa dilakukan dengan mengadakan penerbitan semua hasil kegiatan, terutama yang berupa suntingan teks disertai terjemahannya dan pembahasannya (Darusuprapta, 1985).</w:t>
      </w:r>
    </w:p>
    <w:p w:rsidR="001E3862" w:rsidRDefault="001E3862" w:rsidP="00CE566B">
      <w:pPr>
        <w:spacing w:line="360" w:lineRule="auto"/>
        <w:ind w:firstLine="720"/>
        <w:jc w:val="both"/>
        <w:rPr>
          <w:rFonts w:eastAsia="Times New Roman"/>
          <w:lang w:val="af-ZA"/>
        </w:rPr>
      </w:pPr>
      <w:r>
        <w:rPr>
          <w:rFonts w:eastAsia="Times New Roman"/>
          <w:lang w:val="af-ZA"/>
        </w:rPr>
        <w:t xml:space="preserve">Dalam hal penanganan manuskrip Jawa yang ketiga, yakni penelitian berikut ini diuraikan beberapa penelitian yang pernah dilakukan. Penelitian terhadap manuskrip Jawa adalah manuskrip Jawa berjenis </w:t>
      </w:r>
      <w:r>
        <w:rPr>
          <w:rFonts w:eastAsia="Times New Roman"/>
          <w:i/>
          <w:lang w:val="af-ZA"/>
        </w:rPr>
        <w:t>wayang</w:t>
      </w:r>
      <w:r>
        <w:rPr>
          <w:rFonts w:eastAsia="Times New Roman"/>
          <w:lang w:val="af-ZA"/>
        </w:rPr>
        <w:t>.</w:t>
      </w:r>
    </w:p>
    <w:p w:rsidR="001E3862" w:rsidRDefault="001E3862" w:rsidP="007864A6">
      <w:pPr>
        <w:pStyle w:val="ListParagraph"/>
        <w:spacing w:line="360" w:lineRule="auto"/>
        <w:ind w:left="0" w:firstLine="720"/>
        <w:jc w:val="both"/>
        <w:rPr>
          <w:rFonts w:eastAsia="Times New Roman"/>
          <w:lang w:val="af-ZA"/>
        </w:rPr>
      </w:pPr>
      <w:r>
        <w:rPr>
          <w:rFonts w:eastAsia="Times New Roman"/>
          <w:lang w:val="af-ZA"/>
        </w:rPr>
        <w:t xml:space="preserve">Penelitian manuskrip Jawa dilakukan terhadap (Baroroh-Baried, 1985: 71-72, 76, 79-80): pertama, </w:t>
      </w:r>
      <w:r>
        <w:rPr>
          <w:rFonts w:eastAsia="Times New Roman"/>
          <w:i/>
          <w:lang w:val="af-ZA"/>
        </w:rPr>
        <w:t xml:space="preserve">Brata-Joeda </w:t>
      </w:r>
      <w:r>
        <w:rPr>
          <w:rFonts w:eastAsia="Times New Roman"/>
          <w:lang w:val="af-ZA"/>
        </w:rPr>
        <w:t xml:space="preserve">dilakukan oleh Cohen Stuart (1860), menghasilkan uraian mengenai asal, keadaan, dan ciri-ciri isinya. Kedua, penelitian terhadap </w:t>
      </w:r>
      <w:r>
        <w:rPr>
          <w:rFonts w:eastAsia="Times New Roman"/>
          <w:i/>
          <w:lang w:val="af-ZA"/>
        </w:rPr>
        <w:t xml:space="preserve">Ramayana Kakawin </w:t>
      </w:r>
      <w:r>
        <w:rPr>
          <w:rFonts w:eastAsia="Times New Roman"/>
          <w:lang w:val="af-ZA"/>
        </w:rPr>
        <w:t xml:space="preserve">oleh Kern (1900), menghasilkan perbandingan manuskrip Bali dan Jawa yang kemudian manuskrip dari yang digunakan sebagai dasar penelitiannya. Penelitian manuskrip Bali menghasilkan perbandingan ejaan. Ketiga, penelitian terhadap </w:t>
      </w:r>
      <w:r>
        <w:rPr>
          <w:rFonts w:eastAsia="Times New Roman"/>
          <w:i/>
          <w:lang w:val="af-ZA"/>
        </w:rPr>
        <w:t xml:space="preserve">Arjunawijaya </w:t>
      </w:r>
      <w:r>
        <w:rPr>
          <w:rFonts w:eastAsia="Times New Roman"/>
          <w:lang w:val="af-ZA"/>
        </w:rPr>
        <w:t xml:space="preserve">dilakukan oleh Supomo (1977), menghasilkan pembuatan suntingan teks, berdasarkan 10 </w:t>
      </w:r>
      <w:r>
        <w:rPr>
          <w:rFonts w:eastAsia="Times New Roman"/>
          <w:lang w:val="af-ZA"/>
        </w:rPr>
        <w:lastRenderedPageBreak/>
        <w:t xml:space="preserve">manuskrip pilihan dari Jawa, Bali, dan Lombok dilakukan perbandingan dan menghasilkan otensitas manuskrip, kelengkapan, kondisi ejaan dan bacaannya berhasil menyusun stema manuskrip tersebut. Keempat, penelitian terhadap </w:t>
      </w:r>
      <w:r>
        <w:rPr>
          <w:rFonts w:eastAsia="Times New Roman"/>
          <w:i/>
          <w:lang w:val="af-ZA"/>
        </w:rPr>
        <w:t xml:space="preserve">Arjunawiwaha </w:t>
      </w:r>
      <w:r>
        <w:rPr>
          <w:rFonts w:eastAsia="Times New Roman"/>
          <w:lang w:val="af-ZA"/>
        </w:rPr>
        <w:t xml:space="preserve">dilakukan oleh Kuntara Wiryamartana (1990), menghasilkan terbitan diplomatik dan terbitan teks dengan perbaikan bacaan disertai terjemahan dan catatan. </w:t>
      </w:r>
    </w:p>
    <w:p w:rsidR="007864A6" w:rsidRDefault="007864A6" w:rsidP="007864A6">
      <w:pPr>
        <w:pStyle w:val="ListParagraph"/>
        <w:spacing w:line="360" w:lineRule="auto"/>
        <w:ind w:left="0" w:firstLine="720"/>
        <w:jc w:val="both"/>
        <w:rPr>
          <w:rFonts w:eastAsia="Times New Roman"/>
          <w:lang w:val="af-ZA"/>
        </w:rPr>
      </w:pPr>
    </w:p>
    <w:p w:rsidR="001E3862" w:rsidRPr="001E3862" w:rsidRDefault="001E3862" w:rsidP="007864A6">
      <w:pPr>
        <w:numPr>
          <w:ilvl w:val="0"/>
          <w:numId w:val="13"/>
        </w:numPr>
        <w:spacing w:line="360" w:lineRule="auto"/>
        <w:ind w:left="340"/>
        <w:jc w:val="both"/>
        <w:rPr>
          <w:b/>
        </w:rPr>
      </w:pPr>
      <w:r w:rsidRPr="001E3862">
        <w:rPr>
          <w:b/>
        </w:rPr>
        <w:t>Jenis Manuskrip Melayu</w:t>
      </w:r>
    </w:p>
    <w:p w:rsidR="001E3862" w:rsidRDefault="001E3862" w:rsidP="007864A6">
      <w:pPr>
        <w:spacing w:line="360" w:lineRule="auto"/>
        <w:ind w:firstLine="720"/>
        <w:jc w:val="both"/>
      </w:pPr>
      <w:r>
        <w:t>Jenis manuskrip Melayu beraneka ragam. Menurut Ding (2006), naskah-naskah Melayu mempunyai berbagai jenis berdasarkan isinya sebagai berikut:</w:t>
      </w:r>
    </w:p>
    <w:p w:rsidR="001E3862" w:rsidRDefault="001E3862" w:rsidP="007864A6">
      <w:pPr>
        <w:pStyle w:val="ListParagraph"/>
        <w:numPr>
          <w:ilvl w:val="0"/>
          <w:numId w:val="22"/>
        </w:numPr>
        <w:spacing w:line="360" w:lineRule="auto"/>
        <w:ind w:left="426" w:hanging="219"/>
        <w:jc w:val="both"/>
      </w:pPr>
      <w:r>
        <w:t>Manuskrip Melayu yang  berisi kebudayaan dan peradaban Melayu</w:t>
      </w:r>
    </w:p>
    <w:p w:rsidR="001E3862" w:rsidRDefault="001E3862" w:rsidP="007864A6">
      <w:pPr>
        <w:pStyle w:val="ListParagraph"/>
        <w:numPr>
          <w:ilvl w:val="0"/>
          <w:numId w:val="22"/>
        </w:numPr>
        <w:spacing w:line="360" w:lineRule="auto"/>
        <w:ind w:left="426" w:hanging="219"/>
        <w:jc w:val="both"/>
      </w:pPr>
      <w:r>
        <w:t xml:space="preserve">Peristiwa sejarah dan cermin kepemimpinan raja-raja Melayu seperti dalam manuskrip </w:t>
      </w:r>
      <w:r>
        <w:rPr>
          <w:i/>
        </w:rPr>
        <w:t xml:space="preserve">Hikayat Raja-Raja Pasai, Hikayat Aceh, Sejarah Melayu, Tuhfat al-Nafis, Hikayat Merong Mahawangsa, </w:t>
      </w:r>
      <w:r>
        <w:t>dan lain-lain.</w:t>
      </w:r>
    </w:p>
    <w:p w:rsidR="001E3862" w:rsidRPr="004D7FE4" w:rsidRDefault="001E3862" w:rsidP="007864A6">
      <w:pPr>
        <w:pStyle w:val="ListParagraph"/>
        <w:numPr>
          <w:ilvl w:val="0"/>
          <w:numId w:val="22"/>
        </w:numPr>
        <w:spacing w:line="360" w:lineRule="auto"/>
        <w:ind w:left="426" w:hanging="219"/>
        <w:jc w:val="both"/>
      </w:pPr>
      <w:r>
        <w:t xml:space="preserve">Manuskrip yang berisi pendidkan, sains, dan hiburan. Seperti manuskrip </w:t>
      </w:r>
      <w:r>
        <w:rPr>
          <w:i/>
        </w:rPr>
        <w:t xml:space="preserve">Hikayat Indera Jaya </w:t>
      </w:r>
      <w:r>
        <w:t xml:space="preserve">yang berisi informasi mengenai pngetahuan, kebijaksanaan, pandangan dunia, dan kepercayaan Islam dikalangan orang Melayu. Manuskrip ini sudah pula diteliti dengan meninjaunya dari kacamata sufi. Kajian dilakukan oleh Farish (2005). Komponen sejarah, pendidikan, dan hiburan juga didapati dalam manuskrip </w:t>
      </w:r>
      <w:r>
        <w:rPr>
          <w:i/>
        </w:rPr>
        <w:t>Sejarah Melayu, Hikayat Hang Tuah, Hikayat Isma Yatim, Tuhfat al Nafis, Hikayat Syamsul Anwar, Hikayat Raja</w:t>
      </w:r>
    </w:p>
    <w:p w:rsidR="001E3862" w:rsidRDefault="001E3862" w:rsidP="007864A6">
      <w:pPr>
        <w:pStyle w:val="ListParagraph"/>
        <w:numPr>
          <w:ilvl w:val="0"/>
          <w:numId w:val="22"/>
        </w:numPr>
        <w:spacing w:line="360" w:lineRule="auto"/>
        <w:ind w:left="426" w:hanging="219"/>
        <w:jc w:val="both"/>
      </w:pPr>
      <w:r>
        <w:t>Manuskrip yang berisi surat-surat pendek. Jenis manuskrip ini menjadi penting karena merupakan salah satu sumber untuk mengetahui mengenai hubungan dagang, pajak, memberi informasi mengenai hubungan diplomatik antara dua kerajaan. Selain itu melalui surat-surat pendek dapat pula dilihat ceriminan kehidupan sosial ekonomi, budaya, dan politik, serta informasi mengenai dunia Melayu.</w:t>
      </w:r>
    </w:p>
    <w:p w:rsidR="001E3862" w:rsidRDefault="001E3862" w:rsidP="007864A6">
      <w:pPr>
        <w:pStyle w:val="ListParagraph"/>
        <w:numPr>
          <w:ilvl w:val="0"/>
          <w:numId w:val="22"/>
        </w:numPr>
        <w:spacing w:line="360" w:lineRule="auto"/>
        <w:ind w:left="426" w:hanging="219"/>
        <w:jc w:val="both"/>
      </w:pPr>
      <w:r>
        <w:t>Manuskrip yang berisi ilmu hukum</w:t>
      </w:r>
    </w:p>
    <w:p w:rsidR="001E3862" w:rsidRDefault="001E3862" w:rsidP="00CE566B">
      <w:pPr>
        <w:pStyle w:val="ListParagraph"/>
        <w:spacing w:line="360" w:lineRule="auto"/>
        <w:ind w:left="0"/>
        <w:jc w:val="both"/>
      </w:pPr>
    </w:p>
    <w:p w:rsidR="007864A6" w:rsidRDefault="007864A6" w:rsidP="00CE566B">
      <w:pPr>
        <w:pStyle w:val="ListParagraph"/>
        <w:spacing w:line="360" w:lineRule="auto"/>
        <w:ind w:left="0"/>
        <w:jc w:val="both"/>
      </w:pPr>
    </w:p>
    <w:p w:rsidR="001E3862" w:rsidRPr="007864A6" w:rsidRDefault="001E3862" w:rsidP="00CE566B">
      <w:pPr>
        <w:numPr>
          <w:ilvl w:val="0"/>
          <w:numId w:val="13"/>
        </w:numPr>
        <w:spacing w:line="360" w:lineRule="auto"/>
        <w:ind w:left="340"/>
        <w:jc w:val="both"/>
        <w:rPr>
          <w:b/>
        </w:rPr>
      </w:pPr>
      <w:r>
        <w:rPr>
          <w:b/>
        </w:rPr>
        <w:lastRenderedPageBreak/>
        <w:t>Tempat Penyimpanan</w:t>
      </w:r>
      <w:r w:rsidR="007864A6">
        <w:rPr>
          <w:b/>
        </w:rPr>
        <w:t xml:space="preserve"> Manuskrip Melayu</w:t>
      </w:r>
    </w:p>
    <w:p w:rsidR="001E3862" w:rsidRDefault="001E3862" w:rsidP="007864A6">
      <w:pPr>
        <w:spacing w:line="360" w:lineRule="auto"/>
        <w:ind w:firstLine="720"/>
        <w:jc w:val="both"/>
      </w:pPr>
      <w:r>
        <w:t>Manuskrip Melayu pertama kali mendapat perhatian dari pihak Inggris dan Belanda. Pengumpulan manuskrip ini dibantu oleh orang-orang Melayu yang diupah untuk mencari maupun menyalinnya. Manuskrip Melayu ini kemudian disalin dan dijual kepada perpustakaan-perpustakaan negara di dunia (Ding, 2005a). Paling tidak manuskrip Melayu yang sudah teridentifikasi, tersebar di 151 buah institusi di 28 buah negara sebagai berikut (Chambert-Loir dan Oman, 1999):</w:t>
      </w:r>
    </w:p>
    <w:p w:rsidR="001E3862" w:rsidRDefault="001E3862" w:rsidP="007864A6">
      <w:pPr>
        <w:pStyle w:val="ListParagraph"/>
        <w:numPr>
          <w:ilvl w:val="0"/>
          <w:numId w:val="23"/>
        </w:numPr>
        <w:spacing w:line="360" w:lineRule="auto"/>
        <w:ind w:left="426" w:hanging="219"/>
        <w:jc w:val="both"/>
      </w:pPr>
      <w:r>
        <w:t>Afrika Selatan: South African Cultural Histor Museum, South African Library, University of South Africa Library, University of Durban-Westville, Documentation Center.</w:t>
      </w:r>
    </w:p>
    <w:p w:rsidR="001E3862" w:rsidRDefault="001E3862" w:rsidP="007864A6">
      <w:pPr>
        <w:pStyle w:val="ListParagraph"/>
        <w:numPr>
          <w:ilvl w:val="0"/>
          <w:numId w:val="23"/>
        </w:numPr>
        <w:spacing w:line="360" w:lineRule="auto"/>
        <w:ind w:left="426" w:hanging="219"/>
        <w:jc w:val="both"/>
      </w:pPr>
      <w:r>
        <w:t>Australia: National Library of Australia, Australian National University Library, Monash. University Library, University of Sydney Library, State Library of New South Wales, Dixion Library (Sydney)</w:t>
      </w:r>
    </w:p>
    <w:p w:rsidR="001E3862" w:rsidRDefault="001E3862" w:rsidP="007864A6">
      <w:pPr>
        <w:pStyle w:val="ListParagraph"/>
        <w:numPr>
          <w:ilvl w:val="0"/>
          <w:numId w:val="23"/>
        </w:numPr>
        <w:spacing w:line="360" w:lineRule="auto"/>
        <w:ind w:left="426" w:hanging="219"/>
        <w:jc w:val="both"/>
      </w:pPr>
      <w:r>
        <w:t>Austria: Museum fur Volkerkunde (Viena)</w:t>
      </w:r>
    </w:p>
    <w:p w:rsidR="001E3862" w:rsidRDefault="001E3862" w:rsidP="007864A6">
      <w:pPr>
        <w:pStyle w:val="ListParagraph"/>
        <w:numPr>
          <w:ilvl w:val="0"/>
          <w:numId w:val="23"/>
        </w:numPr>
        <w:spacing w:line="360" w:lineRule="auto"/>
        <w:ind w:left="426" w:hanging="219"/>
        <w:jc w:val="both"/>
      </w:pPr>
      <w:r>
        <w:t>Belgium: Bibiotheque Royale Albert I (Brussels)</w:t>
      </w:r>
    </w:p>
    <w:p w:rsidR="001E3862" w:rsidRDefault="001E3862" w:rsidP="007864A6">
      <w:pPr>
        <w:pStyle w:val="ListParagraph"/>
        <w:numPr>
          <w:ilvl w:val="0"/>
          <w:numId w:val="23"/>
        </w:numPr>
        <w:spacing w:line="360" w:lineRule="auto"/>
        <w:ind w:left="426" w:hanging="219"/>
        <w:jc w:val="both"/>
      </w:pPr>
      <w:r>
        <w:t xml:space="preserve">Brunei: Dewan Bahasa dan Pustaka </w:t>
      </w:r>
    </w:p>
    <w:p w:rsidR="001E3862" w:rsidRDefault="001E3862" w:rsidP="007864A6">
      <w:pPr>
        <w:pStyle w:val="ListParagraph"/>
        <w:numPr>
          <w:ilvl w:val="0"/>
          <w:numId w:val="23"/>
        </w:numPr>
        <w:spacing w:line="360" w:lineRule="auto"/>
        <w:ind w:left="426" w:hanging="219"/>
        <w:jc w:val="both"/>
      </w:pPr>
      <w:r>
        <w:t>Chekoslovakia_narodni Khihovna Ceske Republiky (Prague)</w:t>
      </w:r>
    </w:p>
    <w:p w:rsidR="001E3862" w:rsidRDefault="001E3862" w:rsidP="007864A6">
      <w:pPr>
        <w:pStyle w:val="ListParagraph"/>
        <w:numPr>
          <w:ilvl w:val="0"/>
          <w:numId w:val="23"/>
        </w:numPr>
        <w:spacing w:line="360" w:lineRule="auto"/>
        <w:ind w:left="426" w:hanging="219"/>
        <w:jc w:val="both"/>
      </w:pPr>
      <w:r>
        <w:t>Denmark: Kongelige Bibliotek (Copenhagen), Nationalmuseet (Copenhagen), Rigarkivet (Copenhagen)</w:t>
      </w:r>
    </w:p>
    <w:p w:rsidR="001E3862" w:rsidRDefault="001E3862" w:rsidP="007864A6">
      <w:pPr>
        <w:pStyle w:val="ListParagraph"/>
        <w:numPr>
          <w:ilvl w:val="0"/>
          <w:numId w:val="23"/>
        </w:numPr>
        <w:spacing w:line="360" w:lineRule="auto"/>
        <w:ind w:left="426" w:hanging="219"/>
        <w:jc w:val="both"/>
      </w:pPr>
      <w:r>
        <w:t>France: Bibliotheque Municipale (Marseille), Bibliootheque Nationale (Paris), Missions Estangeres (Paris), Institute National des Langues et Civilizations Orientales (Inalco)</w:t>
      </w:r>
    </w:p>
    <w:p w:rsidR="001E3862" w:rsidRDefault="001E3862" w:rsidP="007864A6">
      <w:pPr>
        <w:pStyle w:val="ListParagraph"/>
        <w:numPr>
          <w:ilvl w:val="0"/>
          <w:numId w:val="23"/>
        </w:numPr>
        <w:spacing w:line="360" w:lineRule="auto"/>
        <w:ind w:left="426" w:hanging="219"/>
        <w:jc w:val="both"/>
      </w:pPr>
      <w:r>
        <w:t>Germany – Museum fur Vokrtkunde (Berlin), Staatbibliothek (Bonn), Sachsiche Landesbibliothek Preussicher Kulturbesitz (Berlin), Universitaatsbibliothek, dan lain-lain.</w:t>
      </w:r>
    </w:p>
    <w:p w:rsidR="001E3862" w:rsidRDefault="001E3862" w:rsidP="007864A6">
      <w:pPr>
        <w:pStyle w:val="ListParagraph"/>
        <w:numPr>
          <w:ilvl w:val="0"/>
          <w:numId w:val="23"/>
        </w:numPr>
        <w:spacing w:line="360" w:lineRule="auto"/>
        <w:ind w:left="426" w:hanging="219"/>
        <w:jc w:val="both"/>
      </w:pPr>
      <w:r>
        <w:t xml:space="preserve">Indonesia: Pusat Informasi dan DokumentasiAceh, Museum Negeri Provinsi Aceh, Museum Negeri Provinsi Bengkulu, Arsip Nasional Republik Indonesia (Jakarta), Ecole Francaise d’ Extreme-Orient Jakarta, Perpustakaan Nasional Republik Indonesia, Fakultas Sastra Universitas Indonesia, Keraton Kaprabonan Cirebon, Keraton Kasepuhan Cirebon, Museum Negeri Provinsi </w:t>
      </w:r>
      <w:r>
        <w:lastRenderedPageBreak/>
        <w:t>Kalimantan Selatan, Lambung Mangkurat, Museum Negeri Provinsi Kalimantan Timur, Museum Negeri Provinsi Lampung, Museum Negeri Provinsi Nusa Tenggara Barat, Yayasan Museum Kebudayaan Samparaja Bima, Museum Negeri Provinsi Sulawesi Selatan, Yayasan Kebudayaan Indera Sakti Pulau Penyengat, Universitas Hasanuddin, Yayasan Kebudayaan Sulawesi Selatan dan Tenggara (Ujung Pandang), Pusat Dokumentasi dan Informasi Kebudayaan Minangkabau Padang, Museum Negeri Provinsi Sumatera Utara (Medan).</w:t>
      </w:r>
    </w:p>
    <w:p w:rsidR="001E3862" w:rsidRDefault="001E3862" w:rsidP="00CE566B">
      <w:pPr>
        <w:spacing w:line="360" w:lineRule="auto"/>
        <w:jc w:val="both"/>
      </w:pPr>
    </w:p>
    <w:p w:rsidR="001E3862" w:rsidRDefault="001E3862" w:rsidP="007864A6">
      <w:pPr>
        <w:spacing w:line="360" w:lineRule="auto"/>
        <w:ind w:firstLine="426"/>
        <w:jc w:val="both"/>
      </w:pPr>
      <w:r>
        <w:t>Selain negara-negara yang tersebut di atas, manuskrip Melayu juga tersimpan di perpustakaan, yayasan, dan instititusi kolektor manuskrip di negara Irlandia, Italian, Malaysia, Belanda, Norwegia, Polandia, Portugal, Rusia. Singapura, Spanyol, Swedia, Switzerland, Thailand, Inggris, Amerika, dan Vatikan.</w:t>
      </w:r>
    </w:p>
    <w:p w:rsidR="007864A6" w:rsidRDefault="007864A6" w:rsidP="00CE566B">
      <w:pPr>
        <w:pStyle w:val="ListParagraph"/>
        <w:spacing w:line="360" w:lineRule="auto"/>
        <w:ind w:left="0"/>
        <w:jc w:val="both"/>
      </w:pPr>
    </w:p>
    <w:p w:rsidR="001E3862" w:rsidRPr="007864A6" w:rsidRDefault="001E3862" w:rsidP="00CE566B">
      <w:pPr>
        <w:pStyle w:val="ListParagraph"/>
        <w:numPr>
          <w:ilvl w:val="0"/>
          <w:numId w:val="13"/>
        </w:numPr>
        <w:spacing w:line="360" w:lineRule="auto"/>
        <w:ind w:left="340"/>
        <w:jc w:val="both"/>
        <w:rPr>
          <w:b/>
        </w:rPr>
      </w:pPr>
      <w:r w:rsidRPr="00CC4610">
        <w:rPr>
          <w:b/>
        </w:rPr>
        <w:t>Penelitian yang Pernah Dilakukan</w:t>
      </w:r>
    </w:p>
    <w:p w:rsidR="001E3862" w:rsidRDefault="001E3862" w:rsidP="00CE566B">
      <w:pPr>
        <w:spacing w:line="360" w:lineRule="auto"/>
        <w:ind w:firstLine="720"/>
        <w:jc w:val="both"/>
      </w:pPr>
      <w:r>
        <w:t xml:space="preserve">Pengumpulan dan penelitian terhadap manuskrip Melayu pertama kali dimulakan oleh orang Inggris dan Belanda. Mereka melakukan pengumpulan dan pengkajian demi kepentingan politik dan ekonomi. Setelah terkumpul, kemudian dilakukan pengkajian Melayu di Delft pada tahun 1842, di Leiden pada tahun 1877 (Ismail 1974), dan di SOAS pada tahun 1916 (Jones 1982 dan 1985 dalam Ding, 2009). Sampai saat ini, penelitian terhadap manuskrip Melayu baru 30% dari keseluruhan manuskrip yang berjumlah kurang lebih 10.000 buah. Kajian Melayu dilakukan dari berbagai perspektif (Ding, 2006). Menurut Ding (2006), kajian yang pernah dilakukan di antaranya adalah </w:t>
      </w:r>
      <w:r>
        <w:rPr>
          <w:i/>
        </w:rPr>
        <w:t xml:space="preserve">Hikayat Hang Tuah </w:t>
      </w:r>
      <w:r>
        <w:t xml:space="preserve">(1964) yang dibuat oleh Kassim Ahmad dengan menggunakan metode penelitian sosiologi. Kajian intertekstual yang pernah dibuat oleh Hendrik Maier dalam </w:t>
      </w:r>
      <w:r>
        <w:rPr>
          <w:i/>
        </w:rPr>
        <w:t xml:space="preserve">Hikayat Merong Mahawangsa </w:t>
      </w:r>
      <w:r>
        <w:t xml:space="preserve">(1988). </w:t>
      </w:r>
    </w:p>
    <w:p w:rsidR="001E3862" w:rsidRDefault="001E3862" w:rsidP="00CE566B">
      <w:pPr>
        <w:spacing w:line="360" w:lineRule="auto"/>
        <w:ind w:firstLine="720"/>
        <w:jc w:val="both"/>
      </w:pPr>
      <w:r>
        <w:t xml:space="preserve">Selain itu, kajian yang meneliti mengenai perobatan Melayu juga telah dilakukan oleh Harun Mat Piah.Mohd Taib Osman juga telah membut kajian mengenai Adab raja-raja. Penlitian ini mengungkap risalah-risalah dan cerita yang berkeaan dengan ajaran agama, adab dan etika, serta panduan dan nasihat untuk </w:t>
      </w:r>
      <w:r>
        <w:lastRenderedPageBreak/>
        <w:t xml:space="preserve">membentk individu muslim yang baik. Mengajarkan hidup rukun di masyarakat yang sejahterai, adil, dan bertaqwa dalam bingkai politik Melayu Islam dalam suatu sistem kerajaan (Osman, 2006). Selain yang telah tersebut di atas, dilakukan pula pengkajian naskah Melayu oleh Ding (2005) yang menggunakan teori kepengarangan Foucault dalam mengkaji </w:t>
      </w:r>
      <w:r>
        <w:rPr>
          <w:i/>
        </w:rPr>
        <w:t xml:space="preserve">Hikayat Syamsul Anuar </w:t>
      </w:r>
      <w:r>
        <w:t xml:space="preserve">oleh Raja Aisyah Sulaiman. Selain itu, telah dikaji pula kerangka komprehensif pemikiran Melayu abad ke-17 berdasarkan manuskrip </w:t>
      </w:r>
      <w:r>
        <w:rPr>
          <w:i/>
        </w:rPr>
        <w:t xml:space="preserve">Durr al Fara’id </w:t>
      </w:r>
      <w:r>
        <w:t xml:space="preserve">karangan Sheikh Nurudin al-Raniri. </w:t>
      </w:r>
    </w:p>
    <w:p w:rsidR="001E3862" w:rsidRDefault="001E3862" w:rsidP="00CE566B">
      <w:pPr>
        <w:spacing w:line="360" w:lineRule="auto"/>
        <w:ind w:firstLine="720"/>
        <w:jc w:val="both"/>
      </w:pPr>
      <w:r>
        <w:t xml:space="preserve">Selain kandungan isinya, pernah dikaji pula iluminasi manuskrip melayu yang dilakukan oleh Mu’jizah. Peneliti ini membuat kajian mengenai surat beriluminasi Sultan Ismail dari Bima. Kajian lain yang dilakukan pada manuskrip yang memuat ilmu hukum yaitu Pelayaran, Perdagangan, dan Persaingan Kuasa dalam </w:t>
      </w:r>
      <w:r>
        <w:rPr>
          <w:i/>
        </w:rPr>
        <w:t xml:space="preserve">Undang-Undang Bandar Bima, </w:t>
      </w:r>
      <w:r>
        <w:t>Kajian terhadap manuskrip-manuskrip karya Imam Maulana Abdul Ma</w:t>
      </w:r>
      <w:r w:rsidR="00FE0E3C">
        <w:t xml:space="preserve">naf Amin Alkhatib juga </w:t>
      </w:r>
      <w:r>
        <w:t xml:space="preserve">pernah dilakukan oleh Pramono. Manuskrip </w:t>
      </w:r>
      <w:r>
        <w:rPr>
          <w:i/>
        </w:rPr>
        <w:t xml:space="preserve">Syair Lebai Guntur </w:t>
      </w:r>
      <w:r>
        <w:t xml:space="preserve">juga pernah dikaji oleh Jan Van Der Putten yang mengemukakan pendidikan seks yang bergema cabul dalam manuskrip di atas. Kajian lain yang tak kalah menarik adalah kajian yang dilakukan oleh Haron Daud yang konsisten dalam mengkaji manuskrip mengenai ilmu nujum dan mantra-mantra. Salah satu kajiannya yang sudah dibukukn adalah </w:t>
      </w:r>
      <w:r>
        <w:rPr>
          <w:i/>
        </w:rPr>
        <w:t xml:space="preserve">Kitab Ilmu Nujum Melayu </w:t>
      </w:r>
      <w:r>
        <w:t>(Daud, 2009).</w:t>
      </w:r>
    </w:p>
    <w:p w:rsidR="001E3862" w:rsidRDefault="001E3862" w:rsidP="00CE566B">
      <w:pPr>
        <w:spacing w:line="360" w:lineRule="auto"/>
        <w:jc w:val="both"/>
      </w:pPr>
    </w:p>
    <w:p w:rsidR="001E3862" w:rsidRPr="007864A6" w:rsidRDefault="001E3862" w:rsidP="007864A6">
      <w:pPr>
        <w:numPr>
          <w:ilvl w:val="0"/>
          <w:numId w:val="13"/>
        </w:numPr>
        <w:spacing w:line="360" w:lineRule="auto"/>
        <w:ind w:left="340"/>
        <w:jc w:val="both"/>
        <w:rPr>
          <w:b/>
        </w:rPr>
      </w:pPr>
      <w:r w:rsidRPr="007864A6">
        <w:rPr>
          <w:b/>
        </w:rPr>
        <w:t>Hubungan Isi Naskah Jawa</w:t>
      </w:r>
    </w:p>
    <w:p w:rsidR="001E3862" w:rsidRPr="007A11E3" w:rsidRDefault="001E3862" w:rsidP="00CE566B">
      <w:pPr>
        <w:spacing w:line="360" w:lineRule="auto"/>
        <w:jc w:val="both"/>
      </w:pPr>
      <w:r w:rsidRPr="007A11E3">
        <w:tab/>
        <w:t xml:space="preserve">Adakah secara substansi naskah-naskah Jawa-Melayu itu memiliki kedekatan atau mungkin kesamaan isi? Pertanyaan ini akan terjawab apabila ada runutan yang menjelaskan bahwa manusia Jawa dan Melayu pernah melakukan kontak . Kontak Jawa-Melayu tidak dapat dilepaskan begitu saja dari sejarah perdagangan orang Persia ke wilayah Asia Tenggara. Wilayah Asia Tenggara dalam kitab Muhammad Ibnu Ibrahim yang berjudul </w:t>
      </w:r>
      <w:r w:rsidRPr="007A11E3">
        <w:rPr>
          <w:i/>
        </w:rPr>
        <w:t xml:space="preserve">Perahu Sulaiman </w:t>
      </w:r>
      <w:r w:rsidRPr="007A11E3">
        <w:t xml:space="preserve">disebut dengan istilah Negeri Bawah Angin (Hendrokumoro, dan Manu: 2009:195).  Negeri Bawah Angin disebut juga sebagai Tanah Melayu yang tidak lain saat ini terkenal dengan kawasan Asia Tenggara. </w:t>
      </w:r>
    </w:p>
    <w:p w:rsidR="001E3862" w:rsidRPr="007A11E3" w:rsidRDefault="001E3862" w:rsidP="00CE566B">
      <w:pPr>
        <w:spacing w:line="360" w:lineRule="auto"/>
        <w:ind w:firstLine="720"/>
        <w:jc w:val="both"/>
      </w:pPr>
      <w:r w:rsidRPr="007A11E3">
        <w:lastRenderedPageBreak/>
        <w:t>Perjalanan pedagang di kawasan ini melakukan kontak perdagangan dengan alat verbal dan non verbal. Alat komunikasi verbal yang digunakan adalah bahasa. Mereka bertransaksi dengan bahasa yang mereka bawa, yang belum pasti dipahami oleh masyarakat setempat karena mereka menggunakan bahasa yang berbeda dengan bahasa pedagang yang datang. Untuk memahamkan maksud, kemudian mereka melengkapi dengan cara lain yang disebut non verbal. Alat non verbal itu berupa gerak ragawi seperti cara memandang, memegang, gerakan isyrat terhadap benda yang dihadapi, mencium atau gerakan-gerakan lain yang memperjelas bahasa mereka.</w:t>
      </w:r>
    </w:p>
    <w:p w:rsidR="001E3862" w:rsidRPr="007A11E3" w:rsidRDefault="001E3862" w:rsidP="00CE566B">
      <w:pPr>
        <w:spacing w:line="360" w:lineRule="auto"/>
        <w:ind w:firstLine="720"/>
        <w:jc w:val="both"/>
      </w:pPr>
      <w:r w:rsidRPr="007A11E3">
        <w:t>Kebisaan komunikasi semacam ini lama-lama akan membentuk suatu kebiasaan baru atau budaya baru yang berfungsi untuk mentransfer gagasan-gagasan, kepercayaan, perasaan atau keinginan-keinginan lainnya. Cara semacam ini menyebabkan orang melakukan intercultural, yaitu cara komunikasi antarbudaya dari berbagai masyarakat yang melakukan kontak social (Eilers dalam Hendrokumoro, dan Manu:2009:192).</w:t>
      </w:r>
    </w:p>
    <w:p w:rsidR="001E3862" w:rsidRPr="007A11E3" w:rsidRDefault="001E3862" w:rsidP="00CE566B">
      <w:pPr>
        <w:spacing w:line="360" w:lineRule="auto"/>
        <w:ind w:firstLine="720"/>
        <w:jc w:val="both"/>
      </w:pPr>
      <w:r w:rsidRPr="007A11E3">
        <w:t>Dalam peristiwa kontak budaya ini manusia menyampaikan nilai-nilai yang mereka bawa kepada mitra komunikasinya. Cara mereka menyampaikan pandangan hidupnya melalui jaringan yang sepandangan atau mirip. Hal ini sangat penting untuk diperhatikan, karena kesamaan pandang akan mempermudah penyampaian dan pemahaman untuk mitra komunikasinya. Ada tiga aspek jaringan komunikasi menurut Edward T. Hall yaitu: 1) Struktur menyeluruh; 2) komponen-komponen sistem, dan 3) pesan yang diurai melalui kode-kode, kata-kata, dan pola-pola penerapan kata-kata ( dalam Hendrokumora, dan Manu: 2009:193).</w:t>
      </w:r>
    </w:p>
    <w:p w:rsidR="001E3862" w:rsidRPr="007A11E3" w:rsidRDefault="001E3862" w:rsidP="00CE566B">
      <w:pPr>
        <w:spacing w:line="360" w:lineRule="auto"/>
        <w:ind w:firstLine="720"/>
        <w:jc w:val="both"/>
      </w:pPr>
      <w:r w:rsidRPr="007A11E3">
        <w:t xml:space="preserve">Berangkat dari cara pandang tersebut, maka diyakini terjadi kontak budaya Jawa-Melayu akibat kontak social masyarakat Jawa dengan Melayu, sebagai dampak sistem perdagangan di wilayah Asia Tenggara. Apalagi dikatakan wilayah ini Merupakan wilayah Melayu atau Negeri bawah Angin. Fakta lain selain perdagangan menunjukkan bahwa antara Jawa dengan Melayu juga terjadi kontak lewat politik. Kerajaan Majapahit melakukan kontak politik ke wilayah Asia Tenggara termasuk Malaisya. Akibat kontak ini maka terjadilah  kontak </w:t>
      </w:r>
      <w:r w:rsidRPr="007A11E3">
        <w:lastRenderedPageBreak/>
        <w:t>budaya, bahkan  campur budaya antara Jawa-Melayu. Apalagi mereka mendapat pengaruh budaya yang sama yaitu budaya Hindu dan Islam yang dibawa oleh para pedagang Persia.</w:t>
      </w:r>
    </w:p>
    <w:p w:rsidR="001E3862" w:rsidRPr="00AF7942" w:rsidRDefault="001E3862" w:rsidP="00CE566B">
      <w:pPr>
        <w:spacing w:line="360" w:lineRule="auto"/>
        <w:ind w:firstLine="720"/>
        <w:jc w:val="both"/>
        <w:rPr>
          <w:i/>
        </w:rPr>
      </w:pPr>
      <w:r w:rsidRPr="007A11E3">
        <w:t xml:space="preserve">Salah satu contoh adalah perefleksian karakter tokoh heroic Hindu yaitu Rama. Tokoh ini adalah tokoh terkenal baik di Jawa atau di Melayu. Hal ini dapat dilihat dalam karya </w:t>
      </w:r>
      <w:r w:rsidRPr="007A11E3">
        <w:rPr>
          <w:i/>
        </w:rPr>
        <w:t>Kakawin Ramayana</w:t>
      </w:r>
      <w:r w:rsidRPr="007A11E3">
        <w:t xml:space="preserve">, dan cerita-cerita tentang Rama seperti dalam </w:t>
      </w:r>
      <w:r w:rsidRPr="007A11E3">
        <w:rPr>
          <w:i/>
        </w:rPr>
        <w:t>Serat Kandhaning Ringgit Purwa</w:t>
      </w:r>
      <w:r w:rsidRPr="007A11E3">
        <w:t xml:space="preserve">. Dalam sastra Melayu tokoh Rama juga dipahami sebagai tokoh heroic yang tidak beda jauh dengan di Jawa dan cerita ini dibeber dalam </w:t>
      </w:r>
      <w:r w:rsidRPr="007A11E3">
        <w:rPr>
          <w:i/>
        </w:rPr>
        <w:t>Hikayat Seri Rama</w:t>
      </w:r>
      <w:r w:rsidRPr="007A11E3">
        <w:t>.</w:t>
      </w:r>
      <w:r>
        <w:t xml:space="preserve"> Perbandingan serat ini telah dilakukan oleh Hendrokumoro dan Manu J. Widyaseputra. Sebagian hasilnya telah diterbitkan dalam </w:t>
      </w:r>
      <w:r>
        <w:rPr>
          <w:i/>
        </w:rPr>
        <w:t xml:space="preserve">Kreativity Minda Melayu-Jawa dalam Khazanah Bahasa, Sastera dan Budaya. </w:t>
      </w:r>
    </w:p>
    <w:p w:rsidR="001E3862" w:rsidRDefault="001E3862" w:rsidP="00CE566B">
      <w:pPr>
        <w:spacing w:line="360" w:lineRule="auto"/>
        <w:ind w:firstLine="720"/>
        <w:jc w:val="both"/>
        <w:rPr>
          <w:i/>
        </w:rPr>
      </w:pPr>
      <w:r w:rsidRPr="007A11E3">
        <w:t>Karya-karya lain yang memeiliki</w:t>
      </w:r>
      <w:r>
        <w:t xml:space="preserve"> hubungan dekat adalah karya sastra yang</w:t>
      </w:r>
      <w:r w:rsidRPr="007A11E3">
        <w:t xml:space="preserve"> berali</w:t>
      </w:r>
      <w:r>
        <w:t>ran Islam. Ada pandangan karya M</w:t>
      </w:r>
      <w:r w:rsidRPr="007A11E3">
        <w:t>elayu ad</w:t>
      </w:r>
      <w:r>
        <w:t>alah karya yang berwawasn Islam. Dengan demikian karya sastra Jawa Islam dapat dicari kedekatan dan kesamaan cara pandang atau penuangan nilai-nilai kulturalnya dengan karya sastra Melayu.</w:t>
      </w:r>
      <w:r w:rsidRPr="007A11E3">
        <w:t xml:space="preserve"> </w:t>
      </w:r>
      <w:r>
        <w:t xml:space="preserve">Jenis karya sastra Jawa beraliran Islam dapat dirunut dalam </w:t>
      </w:r>
      <w:r>
        <w:rPr>
          <w:i/>
        </w:rPr>
        <w:t xml:space="preserve">Kapustakan Jawi. </w:t>
      </w:r>
      <w:r>
        <w:t>Karya yan terdukumentasi antara lain:</w:t>
      </w:r>
      <w:r>
        <w:rPr>
          <w:i/>
        </w:rPr>
        <w:t xml:space="preserve">Het Boek van Bonang, Suluk Sukarsa, Kodja Jajahan, Suluk Wujil, Suluk Malang-sumirang, Suluk Nitisruti, Serat Niti Praja, Serat Sewaka, Serat rengganis, Serat Manik Maya, Serat Ambiya, </w:t>
      </w:r>
      <w:r>
        <w:t xml:space="preserve">dan </w:t>
      </w:r>
      <w:r>
        <w:rPr>
          <w:i/>
        </w:rPr>
        <w:t>Serat Kandha.</w:t>
      </w:r>
    </w:p>
    <w:p w:rsidR="001E3862" w:rsidRDefault="001E3862" w:rsidP="00CE566B">
      <w:pPr>
        <w:spacing w:line="360" w:lineRule="auto"/>
        <w:ind w:firstLine="720"/>
        <w:jc w:val="both"/>
        <w:rPr>
          <w:i/>
        </w:rPr>
      </w:pPr>
      <w:r>
        <w:t xml:space="preserve">Dari naskah-naskah di atas </w:t>
      </w:r>
      <w:r w:rsidRPr="002A2EE6">
        <w:rPr>
          <w:i/>
        </w:rPr>
        <w:t>Serat Rengganis</w:t>
      </w:r>
      <w:r>
        <w:rPr>
          <w:i/>
        </w:rPr>
        <w:t xml:space="preserve"> </w:t>
      </w:r>
      <w:r>
        <w:t>dipastikan memiliki relasi dengan karya sastra Melayu yaitu</w:t>
      </w:r>
      <w:r w:rsidRPr="002A2EE6">
        <w:rPr>
          <w:i/>
        </w:rPr>
        <w:t xml:space="preserve"> Cerita Seribu Satu Malam </w:t>
      </w:r>
      <w:r>
        <w:t xml:space="preserve">yang berasal dari cerita Persia. Untuk naskah lain tentu saja memiliki peluang saling intercultural dan perlu dibuktikan lewat penelitian untuk membuktikan kebenarannya. Selain karya-karya yang telah terdukumen seperti di atas, diyakini masih banyak karya lain yang bernafaskan sama. Misalnya karya-karya Hamengku Buwana V, ada yang menunjukkan fenomena intercultural. Karya tersebut adalah </w:t>
      </w:r>
      <w:r>
        <w:rPr>
          <w:i/>
        </w:rPr>
        <w:t xml:space="preserve">Serat Makutharaja </w:t>
      </w:r>
      <w:r>
        <w:t xml:space="preserve">dan </w:t>
      </w:r>
      <w:r>
        <w:rPr>
          <w:i/>
        </w:rPr>
        <w:t xml:space="preserve">Serat Bustam. </w:t>
      </w:r>
      <w:r>
        <w:t xml:space="preserve">Kedua naskah ini memiliki kedekatan bentuk dan isi dengan karya Melayu </w:t>
      </w:r>
      <w:r>
        <w:rPr>
          <w:i/>
        </w:rPr>
        <w:t xml:space="preserve">Serat Bustanus Salatin </w:t>
      </w:r>
      <w:r>
        <w:t xml:space="preserve">dan </w:t>
      </w:r>
      <w:r>
        <w:rPr>
          <w:i/>
        </w:rPr>
        <w:t xml:space="preserve">Serat Tajus Salatin. </w:t>
      </w:r>
    </w:p>
    <w:p w:rsidR="001E3862" w:rsidRDefault="001E3862" w:rsidP="00CE566B">
      <w:pPr>
        <w:spacing w:line="360" w:lineRule="auto"/>
        <w:ind w:firstLine="720"/>
        <w:jc w:val="both"/>
      </w:pPr>
      <w:r>
        <w:lastRenderedPageBreak/>
        <w:t xml:space="preserve">Persinggungan Jawa –Melayu juga terlihat pada karya Melayu, </w:t>
      </w:r>
      <w:r w:rsidRPr="001027BA">
        <w:rPr>
          <w:i/>
        </w:rPr>
        <w:t>Hikayat Hang Tuah</w:t>
      </w:r>
      <w:r>
        <w:rPr>
          <w:i/>
        </w:rPr>
        <w:t xml:space="preserve">. </w:t>
      </w:r>
      <w:r>
        <w:t xml:space="preserve">Dalam karya ini dipaparkan relasi Jawa-Melayu dalam episode </w:t>
      </w:r>
      <w:r>
        <w:rPr>
          <w:i/>
        </w:rPr>
        <w:t>Majapahit.</w:t>
      </w:r>
      <w:r>
        <w:t xml:space="preserve">Dari episode ini dapat diambil benang merah bahwa Jawa-Melayu telah menjalin hubungan politik saat kerajaan Majapait. Karya lain yang menggambarkan hubungan tersebut adalah karya Tun Sri Lanang dalam </w:t>
      </w:r>
      <w:r w:rsidRPr="001027BA">
        <w:rPr>
          <w:i/>
        </w:rPr>
        <w:t>Sulatin al S</w:t>
      </w:r>
      <w:r>
        <w:rPr>
          <w:i/>
        </w:rPr>
        <w:t xml:space="preserve">alatiin </w:t>
      </w:r>
      <w:r>
        <w:t>(Mahyudin, 2010:190-191)</w:t>
      </w:r>
    </w:p>
    <w:p w:rsidR="001E3862" w:rsidRDefault="001E3862" w:rsidP="00CE566B">
      <w:pPr>
        <w:spacing w:line="360" w:lineRule="auto"/>
        <w:ind w:firstLine="720"/>
        <w:jc w:val="both"/>
      </w:pPr>
      <w:r>
        <w:t>.</w:t>
      </w:r>
    </w:p>
    <w:p w:rsidR="001E3862" w:rsidRPr="007864A6" w:rsidRDefault="001E3862" w:rsidP="007864A6">
      <w:pPr>
        <w:numPr>
          <w:ilvl w:val="0"/>
          <w:numId w:val="13"/>
        </w:numPr>
        <w:spacing w:line="360" w:lineRule="auto"/>
        <w:ind w:left="340"/>
        <w:jc w:val="both"/>
        <w:rPr>
          <w:b/>
        </w:rPr>
      </w:pPr>
      <w:r w:rsidRPr="007864A6">
        <w:rPr>
          <w:b/>
        </w:rPr>
        <w:t>Titik Temu Fokus Penelitian</w:t>
      </w:r>
    </w:p>
    <w:p w:rsidR="001E3862" w:rsidRDefault="001E3862" w:rsidP="00CE566B">
      <w:pPr>
        <w:spacing w:line="360" w:lineRule="auto"/>
        <w:ind w:firstLine="720"/>
        <w:jc w:val="both"/>
      </w:pPr>
      <w:r>
        <w:t>Berdasarkan uraian di atas dapat dipastikan bahwa karya sastra Jawa dan melayu cukup banyak yang memiliki kedekatan isi dan bentuk yang layak untuk dikaji bersama. Manfaatnya dapat digunakan untuk mengungkap kedekatan secara kekeluargaan dan batin antara orang Jawa dan Melayu. Kontribusi untuk Negara ini adalah masukan bahwa antara Jawa dengan Melayu atau Indonesia dan Malaisya adalah satu keluarga dan satu ikatan batin. Tidak dapat dipungkiri bahwa sebagian besar penduduk Malaysia adalah orang Jawa dan etnik Indonesia yang lain seperti Minang atau masyarakat Sumatera yang lain</w:t>
      </w:r>
    </w:p>
    <w:p w:rsidR="001E3862" w:rsidRDefault="001E3862" w:rsidP="00CE566B">
      <w:pPr>
        <w:spacing w:line="360" w:lineRule="auto"/>
        <w:ind w:firstLine="720"/>
        <w:jc w:val="both"/>
      </w:pPr>
      <w:r>
        <w:t xml:space="preserve">Mengacu pandangan-pandangan di atas dapat ditetapkan fokus penelitian ini adalah mencoba menggali/melacak dan membandingkan karya-karya Jawa-Melayu yang berada di jawa dan Malaysia, baik di perpustakaan atau mungkin di masyarakat umum. Identitas karya antara lain karya yang menceriterakan tokoh-tokoh heroik seperti Rama dan keluarga Pandhawa dalam karya yang memiki hubungan dengan </w:t>
      </w:r>
      <w:r w:rsidRPr="00B946AF">
        <w:rPr>
          <w:i/>
        </w:rPr>
        <w:t>Ramayana</w:t>
      </w:r>
      <w:r>
        <w:t xml:space="preserve"> dan </w:t>
      </w:r>
      <w:r w:rsidRPr="00B946AF">
        <w:rPr>
          <w:i/>
        </w:rPr>
        <w:t>Mahabharata</w:t>
      </w:r>
      <w:r>
        <w:rPr>
          <w:i/>
        </w:rPr>
        <w:t xml:space="preserve">, </w:t>
      </w:r>
      <w:r>
        <w:t>karya-karya yang bernafas Islam atau naskah-naskah yang terinspirasi karya Persia.</w:t>
      </w:r>
    </w:p>
    <w:p w:rsidR="001E3862" w:rsidRDefault="001E3862" w:rsidP="00CE566B">
      <w:pPr>
        <w:spacing w:line="360" w:lineRule="auto"/>
        <w:ind w:firstLine="720"/>
        <w:jc w:val="both"/>
      </w:pPr>
      <w:r>
        <w:t xml:space="preserve"> Dari identifikasi tersebut secara bertahap dapat digali dan dikaji naskah-naskah termaksud, dalam penelitian berkesinambungan antara UNY dengan ATMA sebagai bentuk penelit</w:t>
      </w:r>
      <w:r w:rsidR="00330C31">
        <w:t>ian kerjasama antarlembaga dan n</w:t>
      </w:r>
      <w:r>
        <w:t xml:space="preserve">egara, dengan kronologi: pelacakan naskah, penentuan kedekatan, penguraian isi naskah, pembandingan naskah, penetapan kedekatan kekerabatan dan idiologi antara Jawa-Melayu. Hasilnya diharapkan dapat dijadikan masukan penataan strategi nasiaonal dan ketahanan nasional Republik Indonesia. </w:t>
      </w:r>
    </w:p>
    <w:p w:rsidR="001E3862" w:rsidRDefault="001E3862" w:rsidP="00CE566B">
      <w:pPr>
        <w:spacing w:line="360" w:lineRule="auto"/>
        <w:jc w:val="both"/>
      </w:pPr>
    </w:p>
    <w:p w:rsidR="001E3862" w:rsidRPr="007864A6" w:rsidRDefault="001E3862" w:rsidP="007864A6">
      <w:pPr>
        <w:numPr>
          <w:ilvl w:val="0"/>
          <w:numId w:val="10"/>
        </w:numPr>
        <w:spacing w:line="360" w:lineRule="auto"/>
        <w:ind w:left="340"/>
        <w:jc w:val="both"/>
        <w:rPr>
          <w:b/>
        </w:rPr>
      </w:pPr>
      <w:r w:rsidRPr="007864A6">
        <w:rPr>
          <w:b/>
        </w:rPr>
        <w:lastRenderedPageBreak/>
        <w:t>Metodologi Penelitian</w:t>
      </w:r>
    </w:p>
    <w:p w:rsidR="007864A6" w:rsidRPr="007864A6" w:rsidRDefault="007864A6" w:rsidP="007864A6">
      <w:pPr>
        <w:pStyle w:val="ListParagraph"/>
        <w:tabs>
          <w:tab w:val="left" w:pos="284"/>
        </w:tabs>
        <w:spacing w:after="200" w:line="360" w:lineRule="auto"/>
        <w:ind w:left="709"/>
        <w:jc w:val="left"/>
        <w:rPr>
          <w:i/>
        </w:rPr>
      </w:pPr>
    </w:p>
    <w:p w:rsidR="001E3862" w:rsidRPr="007864A6" w:rsidRDefault="001E3862" w:rsidP="00CE566B">
      <w:pPr>
        <w:pStyle w:val="ListParagraph"/>
        <w:numPr>
          <w:ilvl w:val="0"/>
          <w:numId w:val="17"/>
        </w:numPr>
        <w:tabs>
          <w:tab w:val="left" w:pos="284"/>
        </w:tabs>
        <w:spacing w:after="200" w:line="360" w:lineRule="auto"/>
        <w:ind w:left="709" w:hanging="709"/>
        <w:jc w:val="left"/>
        <w:rPr>
          <w:b/>
        </w:rPr>
      </w:pPr>
      <w:r w:rsidRPr="007864A6">
        <w:rPr>
          <w:b/>
        </w:rPr>
        <w:t>Paradigma Penelitian</w:t>
      </w:r>
    </w:p>
    <w:p w:rsidR="001E3862" w:rsidRPr="00413D43" w:rsidRDefault="001E3862" w:rsidP="00CE566B">
      <w:pPr>
        <w:pStyle w:val="ListParagraph"/>
        <w:tabs>
          <w:tab w:val="left" w:pos="142"/>
        </w:tabs>
        <w:spacing w:line="360" w:lineRule="auto"/>
        <w:ind w:left="0" w:firstLine="709"/>
        <w:jc w:val="both"/>
        <w:rPr>
          <w:b/>
          <w:i/>
        </w:rPr>
      </w:pPr>
      <w:r w:rsidRPr="00413D43">
        <w:t xml:space="preserve">Penelitian bersama antara Jurusan Pendidikan Bahasa Daerah FBS UNY dengan ATMA UKM Malaysia ini, dibingkai dalam bentuk pengkajian naskah-naskah sastra lama (kuna) antara kedua belah pihak: bagi Jurusan PBD FBS UNY, mencari naskah lama berbentuk manuskrip Jawa yang memuat pemikiran-pemikiran atau khasanah terkait dengan budaya Melayu. Sementara bagi ATMA UKM Malaysia, menginventarisasi naskah-naskah lama sastra Melayu yang mengandung substansi dan keterkaitan dengan pemikiran dan atau budaya Jawa. </w:t>
      </w:r>
      <w:r w:rsidR="00330C31">
        <w:t xml:space="preserve">Penelitan ini menggunakan prinsip pemikiran studi eksplorasi. Tujuan studi eksplorasi adalah mencari </w:t>
      </w:r>
      <w:r w:rsidRPr="00413D43">
        <w:t xml:space="preserve">titik temu pemikiran dan budaya kedua belah pihak </w:t>
      </w:r>
      <w:r w:rsidR="00314D0F">
        <w:t xml:space="preserve">dengan </w:t>
      </w:r>
      <w:r w:rsidRPr="00413D43">
        <w:t>dijembatani kegiatan penelitian bersama terkait dengan masalah tersebut secara ilmiah dan berkesinambungan. Dengan demikian, paradigma penelitian yang akan dikembangkan bersifat filologis, dengan pendekatan historis komparatif.</w:t>
      </w:r>
    </w:p>
    <w:p w:rsidR="001E3862" w:rsidRPr="00413D43" w:rsidRDefault="001E3862" w:rsidP="00CE566B">
      <w:pPr>
        <w:pStyle w:val="ListParagraph"/>
        <w:tabs>
          <w:tab w:val="left" w:pos="142"/>
        </w:tabs>
        <w:spacing w:line="360" w:lineRule="auto"/>
        <w:ind w:left="0" w:firstLine="709"/>
        <w:jc w:val="both"/>
        <w:rPr>
          <w:b/>
          <w:i/>
        </w:rPr>
      </w:pPr>
    </w:p>
    <w:p w:rsidR="001E3862" w:rsidRPr="007864A6" w:rsidRDefault="001E3862" w:rsidP="00CE566B">
      <w:pPr>
        <w:pStyle w:val="ListParagraph"/>
        <w:numPr>
          <w:ilvl w:val="0"/>
          <w:numId w:val="17"/>
        </w:numPr>
        <w:tabs>
          <w:tab w:val="left" w:pos="142"/>
        </w:tabs>
        <w:spacing w:after="200" w:line="360" w:lineRule="auto"/>
        <w:ind w:left="284" w:hanging="284"/>
        <w:jc w:val="both"/>
        <w:rPr>
          <w:b/>
        </w:rPr>
      </w:pPr>
      <w:r w:rsidRPr="007864A6">
        <w:rPr>
          <w:b/>
        </w:rPr>
        <w:t>Set</w:t>
      </w:r>
      <w:r w:rsidR="005F75A7">
        <w:rPr>
          <w:b/>
        </w:rPr>
        <w:t>t</w:t>
      </w:r>
      <w:r w:rsidRPr="007864A6">
        <w:rPr>
          <w:b/>
        </w:rPr>
        <w:t>ing Penelitian</w:t>
      </w:r>
    </w:p>
    <w:p w:rsidR="001E3862" w:rsidRPr="00413D43" w:rsidRDefault="001E3862" w:rsidP="00CE566B">
      <w:pPr>
        <w:pStyle w:val="ListParagraph"/>
        <w:tabs>
          <w:tab w:val="left" w:pos="142"/>
        </w:tabs>
        <w:spacing w:line="360" w:lineRule="auto"/>
        <w:ind w:left="0" w:firstLine="720"/>
        <w:jc w:val="both"/>
        <w:rPr>
          <w:b/>
          <w:i/>
        </w:rPr>
      </w:pPr>
      <w:r w:rsidRPr="00413D43">
        <w:t>Seting penelitian yang dipilih untuk keperluan inventarisasi adalah tempat-tempat bersejarah yang menyimpan koleksi naskh lama sastra Jawa te</w:t>
      </w:r>
      <w:r w:rsidR="00314D0F">
        <w:t>r</w:t>
      </w:r>
      <w:r w:rsidRPr="00413D43">
        <w:t xml:space="preserve">kait: misalnya museum Sonobudaya, Radyapustaka, Perpustakaan Nasional. Di samping museum, tidak menutup kemungkinan melakukan studi pelacakan di tempat-tempat khusus, misalnya di rumah pribadi (kolektor naskah lama), atau berburu di </w:t>
      </w:r>
      <w:r w:rsidR="00314D0F">
        <w:t xml:space="preserve">tempat </w:t>
      </w:r>
      <w:r w:rsidRPr="00413D43">
        <w:t>penjualan buku atau naskah bekas di wi</w:t>
      </w:r>
      <w:r w:rsidR="00314D0F">
        <w:t xml:space="preserve">lyah Yogyakarta dan sekitarnya. Naskah-naskah Melayu secara khusus di Yogyakarta juga bisa didapatkan di Balai Kajian dan Pengembangan Budaya Melayu. Balai kajian ini </w:t>
      </w:r>
      <w:r w:rsidR="0065569E">
        <w:t xml:space="preserve">dirasa dapat banyak memberikan kontribusi dalam penelitian karena salah satu program kerjanya adalah </w:t>
      </w:r>
      <w:r w:rsidR="00314D0F">
        <w:t xml:space="preserve">mendokumentasi, menginventarisasi, mengkoleksi, dan menyelamatkan naskah-naskah sastra lama dan benda seni-budaya Melayu, serta menduplikasi, mereplikasi, dan mereproduksi benda-benda tersebut agar tetap tersedia dan mudah diperoleh. </w:t>
      </w:r>
      <w:r w:rsidRPr="00413D43">
        <w:t xml:space="preserve">Sementara itu seting penelitian di Malaysia, </w:t>
      </w:r>
      <w:r w:rsidRPr="00413D43">
        <w:lastRenderedPageBreak/>
        <w:t>terutama di konsentrasikan di museum penyimpanan naskah sastra Melayu di Kuala</w:t>
      </w:r>
      <w:r w:rsidR="00314D0F">
        <w:t xml:space="preserve"> L</w:t>
      </w:r>
      <w:r w:rsidRPr="00413D43">
        <w:t>umpur.</w:t>
      </w:r>
    </w:p>
    <w:p w:rsidR="001E3862" w:rsidRPr="00413D43" w:rsidRDefault="001E3862" w:rsidP="00CE566B">
      <w:pPr>
        <w:pStyle w:val="ListParagraph"/>
        <w:tabs>
          <w:tab w:val="left" w:pos="142"/>
        </w:tabs>
        <w:spacing w:line="360" w:lineRule="auto"/>
        <w:ind w:left="0"/>
        <w:jc w:val="both"/>
        <w:rPr>
          <w:b/>
          <w:i/>
        </w:rPr>
      </w:pPr>
    </w:p>
    <w:p w:rsidR="001E3862" w:rsidRPr="007864A6" w:rsidRDefault="001E3862" w:rsidP="00CE566B">
      <w:pPr>
        <w:pStyle w:val="ListParagraph"/>
        <w:numPr>
          <w:ilvl w:val="0"/>
          <w:numId w:val="17"/>
        </w:numPr>
        <w:tabs>
          <w:tab w:val="left" w:pos="142"/>
        </w:tabs>
        <w:spacing w:after="200" w:line="360" w:lineRule="auto"/>
        <w:ind w:left="284" w:hanging="284"/>
        <w:jc w:val="both"/>
        <w:rPr>
          <w:b/>
        </w:rPr>
      </w:pPr>
      <w:r w:rsidRPr="007864A6">
        <w:rPr>
          <w:b/>
        </w:rPr>
        <w:t>Teknik Pengumpulan Data</w:t>
      </w:r>
    </w:p>
    <w:p w:rsidR="001E3862" w:rsidRPr="00413D43" w:rsidRDefault="001E3862" w:rsidP="00CE566B">
      <w:pPr>
        <w:pStyle w:val="ListParagraph"/>
        <w:tabs>
          <w:tab w:val="left" w:pos="0"/>
        </w:tabs>
        <w:spacing w:line="360" w:lineRule="auto"/>
        <w:ind w:left="0" w:firstLine="720"/>
        <w:jc w:val="both"/>
        <w:rPr>
          <w:b/>
          <w:i/>
        </w:rPr>
      </w:pPr>
      <w:r w:rsidRPr="00413D43">
        <w:t>Data atau bahan penelitian yang berupa naskah-naskah terkait, dikumpulkan dengan model inventarisasi dan</w:t>
      </w:r>
      <w:r w:rsidR="005F75A7">
        <w:t xml:space="preserve"> penelusuran dokumen sekunder</w:t>
      </w:r>
      <w:r w:rsidRPr="00413D43">
        <w:t>. Inventarisasi adalah teknik pengumpulan data dan bahan penelitian dengan jalan menelusuri, mencatat, dan mendokumentasikan semua naskah yang berhasil dilacak keberadaannya di wilayah penelitian. Sementara itu</w:t>
      </w:r>
      <w:r w:rsidR="005F75A7">
        <w:t xml:space="preserve"> dokumen sekunder</w:t>
      </w:r>
      <w:r w:rsidRPr="00413D43">
        <w:t xml:space="preserve">, dikembangakan dengan cara mencari dan mencatat bahan penelitian yang berasal dari hasil penelitian sebelumnya. </w:t>
      </w:r>
    </w:p>
    <w:p w:rsidR="001E3862" w:rsidRPr="00413D43" w:rsidRDefault="001E3862" w:rsidP="00CE566B">
      <w:pPr>
        <w:pStyle w:val="ListParagraph"/>
        <w:tabs>
          <w:tab w:val="left" w:pos="142"/>
        </w:tabs>
        <w:spacing w:line="360" w:lineRule="auto"/>
        <w:jc w:val="both"/>
        <w:rPr>
          <w:b/>
          <w:i/>
        </w:rPr>
      </w:pPr>
    </w:p>
    <w:p w:rsidR="0065569E" w:rsidRDefault="0065569E" w:rsidP="00CE566B">
      <w:pPr>
        <w:pStyle w:val="ListParagraph"/>
        <w:numPr>
          <w:ilvl w:val="0"/>
          <w:numId w:val="17"/>
        </w:numPr>
        <w:tabs>
          <w:tab w:val="left" w:pos="142"/>
        </w:tabs>
        <w:spacing w:after="200" w:line="360" w:lineRule="auto"/>
        <w:ind w:left="284" w:hanging="284"/>
        <w:jc w:val="both"/>
        <w:rPr>
          <w:b/>
        </w:rPr>
      </w:pPr>
      <w:r>
        <w:rPr>
          <w:b/>
        </w:rPr>
        <w:t>Instrumen Penelitian</w:t>
      </w:r>
    </w:p>
    <w:p w:rsidR="00703730" w:rsidRDefault="00523D08" w:rsidP="00703730">
      <w:pPr>
        <w:pStyle w:val="ListParagraph"/>
        <w:tabs>
          <w:tab w:val="left" w:pos="142"/>
        </w:tabs>
        <w:spacing w:after="200" w:line="360" w:lineRule="auto"/>
        <w:ind w:left="0"/>
        <w:jc w:val="both"/>
      </w:pPr>
      <w:r>
        <w:tab/>
      </w:r>
      <w:r>
        <w:tab/>
      </w:r>
      <w:r w:rsidR="0065569E">
        <w:t>Instrumen penelitian ini adalah peneliti dengan pengetahuan tentang filologi</w:t>
      </w:r>
      <w:r w:rsidR="00703730">
        <w:t xml:space="preserve">, </w:t>
      </w:r>
      <w:r w:rsidR="0065569E">
        <w:t>naskah Jawa</w:t>
      </w:r>
      <w:r w:rsidR="00703730">
        <w:t>, dan naskah Melayu</w:t>
      </w:r>
      <w:r w:rsidR="0065569E">
        <w:t xml:space="preserve">. Alat bantu yang digunakan berupa </w:t>
      </w:r>
      <w:r w:rsidR="00703730">
        <w:t xml:space="preserve">kartu </w:t>
      </w:r>
      <w:r w:rsidR="0065569E">
        <w:t xml:space="preserve">data. </w:t>
      </w:r>
      <w:r w:rsidR="00703730">
        <w:t xml:space="preserve">Kartu data digunakan untuk mencatat semua data berhubungan dengan subjek penelitian, yang diperoleh dari hasil pembacaan dan transliterasi </w:t>
      </w:r>
    </w:p>
    <w:p w:rsidR="00703730" w:rsidRDefault="0065569E" w:rsidP="0065569E">
      <w:pPr>
        <w:pStyle w:val="ListParagraph"/>
        <w:tabs>
          <w:tab w:val="left" w:pos="142"/>
        </w:tabs>
        <w:spacing w:after="200" w:line="360" w:lineRule="auto"/>
        <w:ind w:left="0"/>
        <w:jc w:val="both"/>
        <w:rPr>
          <w:i/>
          <w:iCs/>
        </w:rPr>
      </w:pPr>
      <w:r>
        <w:t xml:space="preserve">Alat bantu tambahan yang digunakan adalah kamera fokus, perangkat komputer, dan </w:t>
      </w:r>
      <w:r>
        <w:rPr>
          <w:i/>
          <w:iCs/>
        </w:rPr>
        <w:t xml:space="preserve">scanner. </w:t>
      </w:r>
    </w:p>
    <w:p w:rsidR="005F75A7" w:rsidRDefault="005F75A7" w:rsidP="0065569E">
      <w:pPr>
        <w:pStyle w:val="ListParagraph"/>
        <w:tabs>
          <w:tab w:val="left" w:pos="142"/>
        </w:tabs>
        <w:spacing w:after="200" w:line="360" w:lineRule="auto"/>
        <w:ind w:left="0"/>
        <w:jc w:val="both"/>
        <w:rPr>
          <w:b/>
        </w:rPr>
      </w:pPr>
    </w:p>
    <w:p w:rsidR="001E3862" w:rsidRPr="007864A6" w:rsidRDefault="001E3862" w:rsidP="00CE566B">
      <w:pPr>
        <w:pStyle w:val="ListParagraph"/>
        <w:numPr>
          <w:ilvl w:val="0"/>
          <w:numId w:val="17"/>
        </w:numPr>
        <w:tabs>
          <w:tab w:val="left" w:pos="142"/>
        </w:tabs>
        <w:spacing w:after="200" w:line="360" w:lineRule="auto"/>
        <w:ind w:left="284" w:hanging="284"/>
        <w:jc w:val="both"/>
        <w:rPr>
          <w:b/>
        </w:rPr>
      </w:pPr>
      <w:r w:rsidRPr="007864A6">
        <w:rPr>
          <w:b/>
        </w:rPr>
        <w:t>Rancangan Penelitian</w:t>
      </w:r>
    </w:p>
    <w:p w:rsidR="001E3862" w:rsidRDefault="001E3862" w:rsidP="007864A6">
      <w:pPr>
        <w:pStyle w:val="ListParagraph"/>
        <w:tabs>
          <w:tab w:val="left" w:pos="142"/>
        </w:tabs>
        <w:spacing w:line="360" w:lineRule="auto"/>
        <w:ind w:left="0" w:firstLine="720"/>
        <w:jc w:val="both"/>
      </w:pPr>
      <w:r w:rsidRPr="00413D43">
        <w:t>Bahan penelitian yang telah disiapkan dan disunting oleh tim peneliti kedua belah pihak kemudian dikembangkan sebagai titik temu penelitian dalam bentuk menyusun Rancangan penelitian. Rancangan penelitian disusun dan disiapkan oleh tim peneliti kedua belah pihak, dan selanjutnya dilakukan komunikasi untuk membahasa sejauh mana rancangan tersebut mampu mewadahi kegiatan penelitian yang akan dilaksakanan. Rancangan penelitian meliputi hal-hal sebagai berikut;</w:t>
      </w:r>
    </w:p>
    <w:p w:rsidR="005F75A7" w:rsidRDefault="005F75A7" w:rsidP="007864A6">
      <w:pPr>
        <w:pStyle w:val="ListParagraph"/>
        <w:tabs>
          <w:tab w:val="left" w:pos="142"/>
        </w:tabs>
        <w:spacing w:line="360" w:lineRule="auto"/>
        <w:ind w:left="0" w:firstLine="720"/>
        <w:jc w:val="both"/>
      </w:pPr>
    </w:p>
    <w:p w:rsidR="005F75A7" w:rsidRDefault="005F75A7" w:rsidP="007864A6">
      <w:pPr>
        <w:pStyle w:val="ListParagraph"/>
        <w:tabs>
          <w:tab w:val="left" w:pos="142"/>
        </w:tabs>
        <w:spacing w:line="360" w:lineRule="auto"/>
        <w:ind w:left="0" w:firstLine="720"/>
        <w:jc w:val="both"/>
      </w:pPr>
    </w:p>
    <w:p w:rsidR="005F75A7" w:rsidRPr="00413D43" w:rsidRDefault="005F75A7" w:rsidP="007864A6">
      <w:pPr>
        <w:pStyle w:val="ListParagraph"/>
        <w:tabs>
          <w:tab w:val="left" w:pos="142"/>
        </w:tabs>
        <w:spacing w:line="360" w:lineRule="auto"/>
        <w:ind w:left="0" w:firstLine="720"/>
        <w:jc w:val="both"/>
        <w:rPr>
          <w:b/>
          <w:i/>
        </w:rPr>
      </w:pPr>
    </w:p>
    <w:p w:rsidR="001E3862" w:rsidRPr="007864A6" w:rsidRDefault="005F75A7" w:rsidP="007864A6">
      <w:pPr>
        <w:pStyle w:val="ListParagraph"/>
        <w:numPr>
          <w:ilvl w:val="0"/>
          <w:numId w:val="18"/>
        </w:numPr>
        <w:tabs>
          <w:tab w:val="left" w:pos="0"/>
        </w:tabs>
        <w:spacing w:after="200" w:line="360" w:lineRule="auto"/>
        <w:ind w:left="426" w:hanging="426"/>
        <w:jc w:val="both"/>
      </w:pPr>
      <w:r>
        <w:lastRenderedPageBreak/>
        <w:t>Fok</w:t>
      </w:r>
      <w:r w:rsidR="001E3862" w:rsidRPr="007864A6">
        <w:t>us penelitian</w:t>
      </w:r>
    </w:p>
    <w:p w:rsidR="001E3862" w:rsidRPr="007864A6" w:rsidRDefault="007864A6" w:rsidP="007864A6">
      <w:pPr>
        <w:pStyle w:val="ListParagraph"/>
        <w:tabs>
          <w:tab w:val="left" w:pos="0"/>
        </w:tabs>
        <w:spacing w:line="360" w:lineRule="auto"/>
        <w:ind w:left="426" w:hanging="426"/>
        <w:jc w:val="both"/>
        <w:rPr>
          <w:i/>
        </w:rPr>
      </w:pPr>
      <w:r>
        <w:tab/>
      </w:r>
      <w:r w:rsidR="005F75A7">
        <w:t>Fok</w:t>
      </w:r>
      <w:r w:rsidR="001E3862" w:rsidRPr="007864A6">
        <w:t>us penelitian terhadap naskah-naskah lama sastra Melayu-Jawa penting dikedepankan untuk menjaga agar penelitian tetap berada dalam bingkai yang telah disepakati.</w:t>
      </w:r>
    </w:p>
    <w:p w:rsidR="001E3862" w:rsidRPr="007864A6" w:rsidRDefault="001E3862" w:rsidP="007864A6">
      <w:pPr>
        <w:pStyle w:val="ListParagraph"/>
        <w:numPr>
          <w:ilvl w:val="0"/>
          <w:numId w:val="18"/>
        </w:numPr>
        <w:tabs>
          <w:tab w:val="left" w:pos="0"/>
        </w:tabs>
        <w:spacing w:after="200" w:line="360" w:lineRule="auto"/>
        <w:ind w:left="426" w:hanging="426"/>
        <w:jc w:val="both"/>
      </w:pPr>
      <w:r w:rsidRPr="007864A6">
        <w:t>Personalia Penelitian</w:t>
      </w:r>
    </w:p>
    <w:p w:rsidR="001E3862" w:rsidRPr="007864A6" w:rsidRDefault="007864A6" w:rsidP="007864A6">
      <w:pPr>
        <w:pStyle w:val="ListParagraph"/>
        <w:tabs>
          <w:tab w:val="left" w:pos="0"/>
        </w:tabs>
        <w:spacing w:line="360" w:lineRule="auto"/>
        <w:ind w:left="426" w:hanging="426"/>
        <w:jc w:val="both"/>
        <w:rPr>
          <w:i/>
        </w:rPr>
      </w:pPr>
      <w:r>
        <w:tab/>
      </w:r>
      <w:r w:rsidR="001E3862" w:rsidRPr="007864A6">
        <w:t>Personalia penelitaia atau anggota peneliti perlu disepakati bersama untuk memantau dan menata kompetensi setiap peneliti atau tim agar kerja penelitian bena-benar ditangani oleh personalia di bidangnya.</w:t>
      </w:r>
    </w:p>
    <w:p w:rsidR="001E3862" w:rsidRPr="007864A6" w:rsidRDefault="001E3862" w:rsidP="007864A6">
      <w:pPr>
        <w:pStyle w:val="ListParagraph"/>
        <w:numPr>
          <w:ilvl w:val="0"/>
          <w:numId w:val="18"/>
        </w:numPr>
        <w:tabs>
          <w:tab w:val="left" w:pos="0"/>
        </w:tabs>
        <w:spacing w:after="200" w:line="360" w:lineRule="auto"/>
        <w:ind w:left="426" w:hanging="426"/>
        <w:jc w:val="both"/>
      </w:pPr>
      <w:r w:rsidRPr="007864A6">
        <w:t>Teknik Penelitian</w:t>
      </w:r>
    </w:p>
    <w:p w:rsidR="001E3862" w:rsidRPr="007864A6" w:rsidRDefault="007864A6" w:rsidP="007864A6">
      <w:pPr>
        <w:pStyle w:val="ListParagraph"/>
        <w:tabs>
          <w:tab w:val="left" w:pos="0"/>
        </w:tabs>
        <w:spacing w:line="360" w:lineRule="auto"/>
        <w:ind w:left="426" w:hanging="426"/>
        <w:jc w:val="both"/>
        <w:rPr>
          <w:i/>
        </w:rPr>
      </w:pPr>
      <w:r>
        <w:tab/>
      </w:r>
      <w:r w:rsidR="001E3862" w:rsidRPr="007864A6">
        <w:t>Teknik atau metode penelitian penting dikembangkan secara bersama-sama dan sepaham, agar antara peneliti tidak terjadi perbedaan penafsiran, pendekatan, dan hasil-hasil penelitian.</w:t>
      </w:r>
    </w:p>
    <w:p w:rsidR="001E3862" w:rsidRPr="007864A6" w:rsidRDefault="001E3862" w:rsidP="007864A6">
      <w:pPr>
        <w:pStyle w:val="ListParagraph"/>
        <w:numPr>
          <w:ilvl w:val="0"/>
          <w:numId w:val="18"/>
        </w:numPr>
        <w:tabs>
          <w:tab w:val="left" w:pos="0"/>
        </w:tabs>
        <w:spacing w:after="200" w:line="360" w:lineRule="auto"/>
        <w:ind w:left="426" w:hanging="426"/>
        <w:jc w:val="both"/>
      </w:pPr>
      <w:r w:rsidRPr="007864A6">
        <w:t>Pendanaan</w:t>
      </w:r>
    </w:p>
    <w:p w:rsidR="001E3862" w:rsidRPr="007864A6" w:rsidRDefault="007864A6" w:rsidP="007864A6">
      <w:pPr>
        <w:pStyle w:val="ListParagraph"/>
        <w:tabs>
          <w:tab w:val="left" w:pos="0"/>
        </w:tabs>
        <w:spacing w:line="360" w:lineRule="auto"/>
        <w:ind w:left="426" w:hanging="426"/>
        <w:jc w:val="both"/>
        <w:rPr>
          <w:i/>
        </w:rPr>
      </w:pPr>
      <w:r>
        <w:tab/>
      </w:r>
      <w:r w:rsidR="001E3862" w:rsidRPr="007864A6">
        <w:t xml:space="preserve">Pendanaan dalam penelitian juga akan dibahas secara intensif untuk kepentingan kerja dan aktivitas penelitian sejak awal, di lapangan, sampai di meja laporan hasil. </w:t>
      </w:r>
    </w:p>
    <w:p w:rsidR="001E3862" w:rsidRPr="007864A6" w:rsidRDefault="001E3862" w:rsidP="007864A6">
      <w:pPr>
        <w:pStyle w:val="ListParagraph"/>
        <w:numPr>
          <w:ilvl w:val="0"/>
          <w:numId w:val="18"/>
        </w:numPr>
        <w:tabs>
          <w:tab w:val="left" w:pos="0"/>
        </w:tabs>
        <w:spacing w:after="200" w:line="360" w:lineRule="auto"/>
        <w:ind w:left="426" w:hanging="426"/>
        <w:jc w:val="both"/>
      </w:pPr>
      <w:r w:rsidRPr="007864A6">
        <w:t>Penyajian hasil Penelitian</w:t>
      </w:r>
    </w:p>
    <w:p w:rsidR="001E3862" w:rsidRPr="007864A6" w:rsidRDefault="007864A6" w:rsidP="007864A6">
      <w:pPr>
        <w:pStyle w:val="ListParagraph"/>
        <w:tabs>
          <w:tab w:val="left" w:pos="0"/>
        </w:tabs>
        <w:spacing w:line="360" w:lineRule="auto"/>
        <w:ind w:left="426" w:hanging="426"/>
        <w:jc w:val="both"/>
        <w:rPr>
          <w:i/>
        </w:rPr>
      </w:pPr>
      <w:r>
        <w:tab/>
      </w:r>
      <w:r w:rsidR="001E3862" w:rsidRPr="007864A6">
        <w:t xml:space="preserve">Penyajian hasil penelitian dan desiminasi penting dilakukan untuk member manfaat sebesar-besarnya bagi kerja keras penelitian dua Negara ini. Termasuk kemungkinan hasil penelitian ini dapat dipublikasikan dalam Jurnal ilmiah. </w:t>
      </w:r>
    </w:p>
    <w:p w:rsidR="001E3862" w:rsidRPr="00413D43" w:rsidRDefault="001E3862" w:rsidP="00CE566B">
      <w:pPr>
        <w:pStyle w:val="ListParagraph"/>
        <w:tabs>
          <w:tab w:val="left" w:pos="142"/>
        </w:tabs>
        <w:spacing w:line="360" w:lineRule="auto"/>
        <w:ind w:left="1080"/>
        <w:jc w:val="both"/>
        <w:rPr>
          <w:b/>
          <w:i/>
        </w:rPr>
      </w:pPr>
    </w:p>
    <w:p w:rsidR="001E3862" w:rsidRPr="007864A6" w:rsidRDefault="001E3862" w:rsidP="00CE566B">
      <w:pPr>
        <w:pStyle w:val="ListParagraph"/>
        <w:numPr>
          <w:ilvl w:val="0"/>
          <w:numId w:val="17"/>
        </w:numPr>
        <w:tabs>
          <w:tab w:val="left" w:pos="142"/>
        </w:tabs>
        <w:spacing w:after="200" w:line="360" w:lineRule="auto"/>
        <w:ind w:left="284" w:hanging="284"/>
        <w:jc w:val="both"/>
        <w:rPr>
          <w:b/>
        </w:rPr>
      </w:pPr>
      <w:r w:rsidRPr="007864A6">
        <w:rPr>
          <w:b/>
        </w:rPr>
        <w:t>Tindak Lanjut dan Evaluasi Hasil Penelitian</w:t>
      </w:r>
    </w:p>
    <w:p w:rsidR="001E3862" w:rsidRPr="00413D43" w:rsidRDefault="001E3862" w:rsidP="00CE566B">
      <w:pPr>
        <w:pStyle w:val="ListParagraph"/>
        <w:tabs>
          <w:tab w:val="left" w:pos="142"/>
        </w:tabs>
        <w:spacing w:line="360" w:lineRule="auto"/>
        <w:ind w:left="0" w:firstLine="720"/>
        <w:jc w:val="both"/>
        <w:rPr>
          <w:b/>
          <w:i/>
        </w:rPr>
      </w:pPr>
      <w:r w:rsidRPr="00413D43">
        <w:t>Tindak lanjut dan evaluasi hasil penelitian tentang naskah-naskah lama sastra Melayu dan Jawa akan dilakukan dengan model: komunikasi dialogis antar peneliti kedua belah pihak, seminar internasional, publikasi ilmiah, dan penerbitan buku.</w:t>
      </w:r>
    </w:p>
    <w:p w:rsidR="001E3862" w:rsidRPr="007864A6" w:rsidRDefault="001E3862" w:rsidP="007864A6">
      <w:pPr>
        <w:pStyle w:val="ListParagraph"/>
        <w:numPr>
          <w:ilvl w:val="0"/>
          <w:numId w:val="19"/>
        </w:numPr>
        <w:tabs>
          <w:tab w:val="left" w:pos="142"/>
        </w:tabs>
        <w:spacing w:after="200" w:line="360" w:lineRule="auto"/>
        <w:ind w:left="426" w:hanging="426"/>
        <w:jc w:val="both"/>
      </w:pPr>
      <w:r w:rsidRPr="007864A6">
        <w:t>Komunikasi dialogis</w:t>
      </w:r>
    </w:p>
    <w:p w:rsidR="001E3862" w:rsidRPr="007864A6" w:rsidRDefault="007864A6" w:rsidP="007864A6">
      <w:pPr>
        <w:pStyle w:val="ListParagraph"/>
        <w:tabs>
          <w:tab w:val="left" w:pos="142"/>
        </w:tabs>
        <w:spacing w:line="360" w:lineRule="auto"/>
        <w:ind w:left="426" w:hanging="426"/>
        <w:jc w:val="both"/>
        <w:rPr>
          <w:i/>
        </w:rPr>
      </w:pPr>
      <w:r>
        <w:tab/>
      </w:r>
      <w:r>
        <w:tab/>
      </w:r>
      <w:r w:rsidR="001E3862" w:rsidRPr="007864A6">
        <w:t>Komunikasi dilakukan setelah hasil penelitian dilakukan. Hal ini untuk mengevaluasi sejauh mana kualitas dan kebermanfaatn penelitian  yang telah dilakukan bersama.</w:t>
      </w:r>
    </w:p>
    <w:p w:rsidR="001E3862" w:rsidRPr="007864A6" w:rsidRDefault="001E3862" w:rsidP="007864A6">
      <w:pPr>
        <w:pStyle w:val="ListParagraph"/>
        <w:numPr>
          <w:ilvl w:val="0"/>
          <w:numId w:val="19"/>
        </w:numPr>
        <w:tabs>
          <w:tab w:val="left" w:pos="142"/>
        </w:tabs>
        <w:spacing w:after="200" w:line="360" w:lineRule="auto"/>
        <w:ind w:left="426" w:hanging="426"/>
        <w:jc w:val="both"/>
      </w:pPr>
      <w:r w:rsidRPr="007864A6">
        <w:lastRenderedPageBreak/>
        <w:t>Seminar internasional</w:t>
      </w:r>
    </w:p>
    <w:p w:rsidR="001E3862" w:rsidRPr="007864A6" w:rsidRDefault="007864A6" w:rsidP="007864A6">
      <w:pPr>
        <w:pStyle w:val="ListParagraph"/>
        <w:tabs>
          <w:tab w:val="left" w:pos="142"/>
        </w:tabs>
        <w:spacing w:line="360" w:lineRule="auto"/>
        <w:ind w:left="426" w:hanging="426"/>
        <w:jc w:val="both"/>
        <w:rPr>
          <w:i/>
        </w:rPr>
      </w:pPr>
      <w:r>
        <w:tab/>
      </w:r>
      <w:r>
        <w:tab/>
      </w:r>
      <w:r w:rsidR="001E3862" w:rsidRPr="007864A6">
        <w:t>Hasil-hasil penelitian dibawa dalam focus seminar internasional (antara bangsa) untuk memperoleh umpan balik, tambahan, dan koreksi dari peneliti lain di  dunia internasional.</w:t>
      </w:r>
    </w:p>
    <w:p w:rsidR="001E3862" w:rsidRPr="007864A6" w:rsidRDefault="001E3862" w:rsidP="007864A6">
      <w:pPr>
        <w:pStyle w:val="ListParagraph"/>
        <w:numPr>
          <w:ilvl w:val="0"/>
          <w:numId w:val="19"/>
        </w:numPr>
        <w:tabs>
          <w:tab w:val="left" w:pos="142"/>
        </w:tabs>
        <w:spacing w:after="200" w:line="360" w:lineRule="auto"/>
        <w:ind w:left="426" w:hanging="426"/>
        <w:jc w:val="both"/>
      </w:pPr>
      <w:r w:rsidRPr="007864A6">
        <w:t>Publikasi ilmiah</w:t>
      </w:r>
    </w:p>
    <w:p w:rsidR="001E3862" w:rsidRPr="007864A6" w:rsidRDefault="007864A6" w:rsidP="007864A6">
      <w:pPr>
        <w:pStyle w:val="ListParagraph"/>
        <w:tabs>
          <w:tab w:val="left" w:pos="142"/>
        </w:tabs>
        <w:spacing w:line="360" w:lineRule="auto"/>
        <w:ind w:left="426" w:hanging="426"/>
        <w:jc w:val="both"/>
        <w:rPr>
          <w:i/>
        </w:rPr>
      </w:pPr>
      <w:r>
        <w:tab/>
      </w:r>
      <w:r>
        <w:tab/>
      </w:r>
      <w:r w:rsidR="001E3862" w:rsidRPr="007864A6">
        <w:t xml:space="preserve">Publikasi ilmiah di Jurnal-jurnal terpercaya dilakukan untuk mewadahi hasil kerja ilmiah para peneliti agar dapat dibaca seluas-luasnya oleh masyarakat pecinta ilmu di seluruh dunia (terutama di Indonesia dan Malaysia). </w:t>
      </w:r>
    </w:p>
    <w:p w:rsidR="001E3862" w:rsidRDefault="001E3862" w:rsidP="00CE566B">
      <w:pPr>
        <w:spacing w:line="360" w:lineRule="auto"/>
        <w:jc w:val="both"/>
      </w:pPr>
    </w:p>
    <w:p w:rsidR="007864A6" w:rsidRPr="007864A6" w:rsidRDefault="007864A6" w:rsidP="007864A6">
      <w:pPr>
        <w:numPr>
          <w:ilvl w:val="0"/>
          <w:numId w:val="10"/>
        </w:numPr>
        <w:spacing w:line="360" w:lineRule="auto"/>
        <w:ind w:left="340"/>
        <w:jc w:val="both"/>
        <w:rPr>
          <w:b/>
        </w:rPr>
      </w:pPr>
      <w:r w:rsidRPr="007864A6">
        <w:rPr>
          <w:b/>
        </w:rPr>
        <w:t>Daftar Pustaka</w:t>
      </w:r>
    </w:p>
    <w:p w:rsidR="001E3862" w:rsidRDefault="001E3862" w:rsidP="00CE566B">
      <w:pPr>
        <w:tabs>
          <w:tab w:val="left" w:pos="709"/>
        </w:tabs>
        <w:spacing w:line="360" w:lineRule="auto"/>
        <w:jc w:val="both"/>
      </w:pPr>
    </w:p>
    <w:p w:rsidR="001E3862" w:rsidRDefault="001E3862" w:rsidP="007864A6">
      <w:pPr>
        <w:pStyle w:val="BodyTextIndent2"/>
        <w:spacing w:line="360" w:lineRule="auto"/>
        <w:ind w:left="357" w:hanging="357"/>
        <w:rPr>
          <w:lang w:val="af-ZA"/>
        </w:rPr>
      </w:pPr>
      <w:r>
        <w:rPr>
          <w:lang w:val="af-ZA"/>
        </w:rPr>
        <w:t xml:space="preserve">Behrend, T.E., dkk. 1990. </w:t>
      </w:r>
      <w:r>
        <w:rPr>
          <w:i/>
          <w:iCs/>
          <w:lang w:val="af-ZA"/>
        </w:rPr>
        <w:t>Katalog Induk Naskah-naskah Nusantara</w:t>
      </w:r>
      <w:r w:rsidRPr="003B70CD">
        <w:rPr>
          <w:lang w:val="af-ZA"/>
        </w:rPr>
        <w:t xml:space="preserve"> </w:t>
      </w:r>
      <w:r w:rsidRPr="003B70CD">
        <w:rPr>
          <w:i/>
          <w:lang w:val="af-ZA"/>
        </w:rPr>
        <w:t>Jilid I</w:t>
      </w:r>
      <w:r>
        <w:rPr>
          <w:i/>
          <w:iCs/>
          <w:lang w:val="af-ZA"/>
        </w:rPr>
        <w:t>: Museum Sonobudoyo Yogyakarta.</w:t>
      </w:r>
      <w:r>
        <w:rPr>
          <w:lang w:val="af-ZA"/>
        </w:rPr>
        <w:t xml:space="preserve"> Jakarta: Djambatan.</w:t>
      </w:r>
    </w:p>
    <w:p w:rsidR="00FF1B61" w:rsidRDefault="00FF1B61" w:rsidP="00FF1B61">
      <w:pPr>
        <w:pStyle w:val="BodyTextIndent2"/>
        <w:spacing w:line="360" w:lineRule="auto"/>
        <w:ind w:left="357" w:hanging="357"/>
        <w:rPr>
          <w:lang w:val="af-ZA"/>
        </w:rPr>
      </w:pPr>
      <w:r>
        <w:rPr>
          <w:lang w:val="af-ZA"/>
        </w:rPr>
        <w:t xml:space="preserve">Chambert-Loir, H. Dan Fathurahman, Oman. 1999. </w:t>
      </w:r>
      <w:r>
        <w:rPr>
          <w:i/>
          <w:lang w:val="af-ZA"/>
        </w:rPr>
        <w:t xml:space="preserve">Panduan Koleksi Naskah-Naskah Indoneisa Seduania: World Guide to Indonesian Manuscript Collections. </w:t>
      </w:r>
      <w:r>
        <w:rPr>
          <w:lang w:val="af-ZA"/>
        </w:rPr>
        <w:t>Jakarta: Ecole francaise d-Extreme-Orient &amp; Yayasan Obor Indonesia.</w:t>
      </w:r>
    </w:p>
    <w:p w:rsidR="00040832" w:rsidRPr="00040832" w:rsidRDefault="00040832" w:rsidP="00FF1B61">
      <w:pPr>
        <w:pStyle w:val="BodyTextIndent2"/>
        <w:spacing w:line="360" w:lineRule="auto"/>
        <w:ind w:left="357" w:hanging="357"/>
        <w:rPr>
          <w:lang w:val="af-ZA"/>
        </w:rPr>
      </w:pPr>
      <w:r>
        <w:rPr>
          <w:lang w:val="af-ZA"/>
        </w:rPr>
        <w:t xml:space="preserve">Daud, Haron. 2009. </w:t>
      </w:r>
      <w:r>
        <w:rPr>
          <w:i/>
          <w:lang w:val="af-ZA"/>
        </w:rPr>
        <w:t xml:space="preserve">Kitab Ilmu Nujum Melayu. </w:t>
      </w:r>
      <w:r>
        <w:rPr>
          <w:lang w:val="af-ZA"/>
        </w:rPr>
        <w:t>Bangi: Institut Alam dan Tamadun Melayu Universiti Kebangsaan Malaysia.</w:t>
      </w:r>
    </w:p>
    <w:p w:rsidR="001E3862" w:rsidRDefault="001E3862" w:rsidP="00853A49">
      <w:pPr>
        <w:pStyle w:val="BodyTextIndent2"/>
        <w:spacing w:line="360" w:lineRule="auto"/>
        <w:ind w:left="357" w:hanging="357"/>
        <w:rPr>
          <w:lang w:val="af-ZA"/>
        </w:rPr>
      </w:pPr>
      <w:r>
        <w:rPr>
          <w:lang w:val="af-ZA"/>
        </w:rPr>
        <w:t xml:space="preserve">Darusuprapta. 1985. “Keadaan dan Jenis Naskah Jawa”. </w:t>
      </w:r>
      <w:r>
        <w:rPr>
          <w:i/>
          <w:iCs/>
          <w:lang w:val="af-ZA"/>
        </w:rPr>
        <w:t xml:space="preserve">Keadaan dan Perkembangan Bahasa, Sastra, Etika, Tatakrama, dan Seni Pertunjukan Jawa, Bali, dan Sunda. </w:t>
      </w:r>
      <w:r>
        <w:rPr>
          <w:lang w:val="af-ZA"/>
        </w:rPr>
        <w:t>Yogyakarta: Proyek Penelitian dan Pengkajian Kebudayaan Nusantara (Javanologi) Direktorat Jenderal Departemen Pendidikan dan Kebudayaan.</w:t>
      </w:r>
    </w:p>
    <w:p w:rsidR="001E3862" w:rsidRDefault="001E3862" w:rsidP="00853A49">
      <w:pPr>
        <w:pStyle w:val="BodyTextIndent"/>
        <w:spacing w:after="0" w:line="360" w:lineRule="auto"/>
        <w:ind w:left="720" w:hanging="720"/>
        <w:jc w:val="both"/>
        <w:rPr>
          <w:rFonts w:ascii="Times New Roman" w:hAnsi="Times New Roman"/>
          <w:sz w:val="24"/>
          <w:szCs w:val="24"/>
        </w:rPr>
      </w:pPr>
      <w:r w:rsidRPr="001C243A">
        <w:rPr>
          <w:rFonts w:ascii="Times New Roman" w:hAnsi="Times New Roman"/>
          <w:sz w:val="24"/>
          <w:szCs w:val="24"/>
        </w:rPr>
        <w:t xml:space="preserve">Girardet, Nikolaus. 1983. </w:t>
      </w:r>
      <w:r w:rsidRPr="001C243A">
        <w:rPr>
          <w:rFonts w:ascii="Times New Roman" w:hAnsi="Times New Roman"/>
          <w:i/>
          <w:iCs/>
          <w:sz w:val="24"/>
          <w:szCs w:val="24"/>
        </w:rPr>
        <w:t>Descriptive Catalogue of the Javanese Manuscripts and Printed Books in the Main Libraries of Surakarta and Yogyakarta</w:t>
      </w:r>
      <w:r w:rsidRPr="001C243A">
        <w:rPr>
          <w:rFonts w:ascii="Times New Roman" w:hAnsi="Times New Roman"/>
          <w:sz w:val="24"/>
          <w:szCs w:val="24"/>
        </w:rPr>
        <w:t>. Wiesbaden: Franz Steiner Verlag GMBH.</w:t>
      </w:r>
    </w:p>
    <w:p w:rsidR="001725A6" w:rsidRDefault="001725A6" w:rsidP="00853A49">
      <w:pPr>
        <w:pStyle w:val="BodyTextIndent"/>
        <w:spacing w:after="0" w:line="360" w:lineRule="auto"/>
        <w:ind w:left="720" w:hanging="720"/>
        <w:jc w:val="both"/>
        <w:rPr>
          <w:rFonts w:ascii="Times New Roman" w:hAnsi="Times New Roman"/>
          <w:sz w:val="24"/>
          <w:szCs w:val="24"/>
        </w:rPr>
      </w:pPr>
      <w:r>
        <w:rPr>
          <w:rFonts w:ascii="Times New Roman" w:hAnsi="Times New Roman"/>
          <w:sz w:val="24"/>
          <w:szCs w:val="24"/>
        </w:rPr>
        <w:t xml:space="preserve">Ming, Ding Choo. 2009. </w:t>
      </w:r>
      <w:r>
        <w:rPr>
          <w:rFonts w:ascii="Times New Roman" w:hAnsi="Times New Roman"/>
          <w:i/>
          <w:sz w:val="24"/>
          <w:szCs w:val="24"/>
        </w:rPr>
        <w:t xml:space="preserve">Manuskrip Melayu Sumber Maklumat Peribumi Melayu. </w:t>
      </w:r>
      <w:r>
        <w:rPr>
          <w:rFonts w:ascii="Times New Roman" w:hAnsi="Times New Roman"/>
          <w:sz w:val="24"/>
          <w:szCs w:val="24"/>
        </w:rPr>
        <w:t>Bangi: Penerbit Universiti Kebangsaan Malaysia.</w:t>
      </w:r>
    </w:p>
    <w:p w:rsidR="00853A49" w:rsidRPr="00853A49" w:rsidRDefault="00853A49" w:rsidP="00853A49">
      <w:pPr>
        <w:pStyle w:val="BodyTextIndent"/>
        <w:spacing w:after="0" w:line="360" w:lineRule="auto"/>
        <w:ind w:left="720" w:hanging="720"/>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9pt;margin-top:7.8pt;width:57pt;height:0;z-index:251658752" o:connectortype="straight"/>
        </w:pict>
      </w:r>
      <w:r>
        <w:rPr>
          <w:rFonts w:ascii="Times New Roman" w:hAnsi="Times New Roman"/>
          <w:sz w:val="24"/>
          <w:szCs w:val="24"/>
        </w:rPr>
        <w:t xml:space="preserve">                     . 2006</w:t>
      </w:r>
      <w:r w:rsidRPr="00853A49">
        <w:rPr>
          <w:rFonts w:ascii="Times New Roman" w:hAnsi="Times New Roman"/>
          <w:sz w:val="24"/>
          <w:szCs w:val="24"/>
        </w:rPr>
        <w:t>. Penglibatan Bukan Melayu dalam Pengajian Dunia Melayu</w:t>
      </w:r>
      <w:r>
        <w:rPr>
          <w:rFonts w:ascii="Times New Roman" w:hAnsi="Times New Roman"/>
          <w:i/>
          <w:sz w:val="24"/>
          <w:szCs w:val="24"/>
        </w:rPr>
        <w:t xml:space="preserve">. Pemikir </w:t>
      </w:r>
      <w:r>
        <w:rPr>
          <w:rFonts w:ascii="Times New Roman" w:hAnsi="Times New Roman"/>
          <w:sz w:val="24"/>
          <w:szCs w:val="24"/>
        </w:rPr>
        <w:t>43: 165-182.</w:t>
      </w:r>
    </w:p>
    <w:p w:rsidR="001725A6" w:rsidRPr="001725A6" w:rsidRDefault="001725A6" w:rsidP="001725A6">
      <w:pPr>
        <w:pStyle w:val="BodyTextIndent"/>
        <w:spacing w:after="0" w:line="360" w:lineRule="auto"/>
        <w:jc w:val="both"/>
        <w:rPr>
          <w:rFonts w:ascii="Times New Roman" w:hAnsi="Times New Roman"/>
          <w:sz w:val="24"/>
          <w:szCs w:val="24"/>
        </w:rPr>
      </w:pPr>
      <w:r>
        <w:rPr>
          <w:rFonts w:ascii="Times New Roman" w:hAnsi="Times New Roman"/>
          <w:noProof/>
          <w:sz w:val="24"/>
          <w:szCs w:val="24"/>
        </w:rPr>
        <w:lastRenderedPageBreak/>
        <w:pict>
          <v:shape id="_x0000_s1027" type="#_x0000_t32" style="position:absolute;left:0;text-align:left;margin-left:-.9pt;margin-top:8.85pt;width:57pt;height:0;z-index:251657728" o:connectortype="straight"/>
        </w:pict>
      </w:r>
      <w:r>
        <w:rPr>
          <w:rFonts w:ascii="Times New Roman" w:hAnsi="Times New Roman"/>
          <w:sz w:val="24"/>
          <w:szCs w:val="24"/>
        </w:rPr>
        <w:t xml:space="preserve">              . 2005a.</w:t>
      </w:r>
      <w:r>
        <w:rPr>
          <w:rFonts w:ascii="Times New Roman" w:hAnsi="Times New Roman"/>
          <w:i/>
          <w:sz w:val="24"/>
          <w:szCs w:val="24"/>
        </w:rPr>
        <w:t xml:space="preserve"> Projek pemetaan Manuskrip Peribumi Nusantara. </w:t>
      </w:r>
      <w:r w:rsidRPr="001725A6">
        <w:rPr>
          <w:rFonts w:ascii="Times New Roman" w:hAnsi="Times New Roman"/>
          <w:sz w:val="24"/>
          <w:szCs w:val="24"/>
        </w:rPr>
        <w:t>Makalah dipresentasikan di Simposium Insternasional Pernaskahan Nusantara IX, Karton Buton, Sulawesi Tenggara. Buton.</w:t>
      </w:r>
      <w:r>
        <w:rPr>
          <w:rFonts w:ascii="Times New Roman" w:hAnsi="Times New Roman"/>
          <w:sz w:val="24"/>
          <w:szCs w:val="24"/>
        </w:rPr>
        <w:t xml:space="preserve"> </w:t>
      </w:r>
    </w:p>
    <w:p w:rsidR="001E3862" w:rsidRPr="00F52C55" w:rsidRDefault="001E3862" w:rsidP="00CE566B">
      <w:pPr>
        <w:tabs>
          <w:tab w:val="left" w:pos="1440"/>
        </w:tabs>
        <w:spacing w:line="360" w:lineRule="auto"/>
        <w:ind w:left="720" w:hanging="720"/>
        <w:jc w:val="both"/>
      </w:pPr>
      <w:r w:rsidRPr="00F52C55">
        <w:t xml:space="preserve">Onions, C.T. (editor). 1974. </w:t>
      </w:r>
      <w:r w:rsidRPr="00F52C55">
        <w:rPr>
          <w:i/>
          <w:iCs/>
        </w:rPr>
        <w:t>The Oxford Dictionary of English Etymology.</w:t>
      </w:r>
      <w:r w:rsidRPr="00F52C55">
        <w:t xml:space="preserve"> New York and Oxford: Oxford University Press.</w:t>
      </w:r>
    </w:p>
    <w:p w:rsidR="001725A6" w:rsidRDefault="001725A6" w:rsidP="001725A6">
      <w:pPr>
        <w:autoSpaceDE w:val="0"/>
        <w:autoSpaceDN w:val="0"/>
        <w:adjustRightInd w:val="0"/>
        <w:spacing w:after="240"/>
        <w:ind w:left="709" w:hanging="709"/>
        <w:jc w:val="both"/>
      </w:pPr>
      <w:r w:rsidRPr="007F002C">
        <w:t>Osman</w:t>
      </w:r>
      <w:r>
        <w:t xml:space="preserve">, </w:t>
      </w:r>
      <w:r w:rsidRPr="007F002C">
        <w:t xml:space="preserve">Mohd. Taib. 2006. </w:t>
      </w:r>
      <w:r w:rsidRPr="007F002C">
        <w:rPr>
          <w:i/>
          <w:iCs/>
        </w:rPr>
        <w:t>Adab Raja-raja</w:t>
      </w:r>
      <w:r w:rsidRPr="007F002C">
        <w:t>. Kuala Lumpur: Perpustakaan Negara Malaysia.</w:t>
      </w:r>
    </w:p>
    <w:p w:rsidR="001725A6" w:rsidRPr="007F002C" w:rsidRDefault="001725A6" w:rsidP="001725A6">
      <w:pPr>
        <w:autoSpaceDE w:val="0"/>
        <w:autoSpaceDN w:val="0"/>
        <w:adjustRightInd w:val="0"/>
        <w:spacing w:after="240"/>
        <w:ind w:left="709" w:hanging="709"/>
        <w:jc w:val="both"/>
      </w:pPr>
    </w:p>
    <w:p w:rsidR="00214FAA" w:rsidRPr="00214FAA" w:rsidRDefault="00214FAA" w:rsidP="00CE566B">
      <w:pPr>
        <w:tabs>
          <w:tab w:val="left" w:pos="709"/>
        </w:tabs>
        <w:spacing w:line="360" w:lineRule="auto"/>
        <w:jc w:val="both"/>
        <w:rPr>
          <w:b/>
        </w:rPr>
      </w:pPr>
    </w:p>
    <w:p w:rsidR="00721E49" w:rsidRPr="00721E49" w:rsidRDefault="00721E49" w:rsidP="00CE566B">
      <w:pPr>
        <w:tabs>
          <w:tab w:val="left" w:pos="709"/>
        </w:tabs>
        <w:spacing w:line="360" w:lineRule="auto"/>
        <w:jc w:val="both"/>
        <w:rPr>
          <w:rFonts w:ascii="Arial" w:hAnsi="Arial" w:cs="Arial"/>
        </w:rPr>
      </w:pPr>
    </w:p>
    <w:p w:rsidR="00CB6748" w:rsidRDefault="00CB6748" w:rsidP="00CE566B">
      <w:pPr>
        <w:tabs>
          <w:tab w:val="left" w:pos="5835"/>
        </w:tabs>
        <w:spacing w:line="360" w:lineRule="auto"/>
        <w:jc w:val="both"/>
        <w:rPr>
          <w:rFonts w:ascii="Arial" w:hAnsi="Arial" w:cs="Arial"/>
        </w:rPr>
      </w:pPr>
    </w:p>
    <w:p w:rsidR="00CB6748" w:rsidRDefault="00CB6748" w:rsidP="00CE566B">
      <w:pPr>
        <w:tabs>
          <w:tab w:val="left" w:pos="5835"/>
        </w:tabs>
        <w:spacing w:line="360" w:lineRule="auto"/>
        <w:jc w:val="both"/>
        <w:rPr>
          <w:rFonts w:ascii="Arial" w:hAnsi="Arial" w:cs="Arial"/>
        </w:rPr>
      </w:pPr>
    </w:p>
    <w:p w:rsidR="00CB6748" w:rsidRDefault="00CB6748" w:rsidP="00CE566B">
      <w:pPr>
        <w:tabs>
          <w:tab w:val="left" w:pos="5835"/>
        </w:tabs>
        <w:spacing w:line="360" w:lineRule="auto"/>
        <w:jc w:val="both"/>
        <w:rPr>
          <w:rFonts w:ascii="Arial" w:hAnsi="Arial" w:cs="Arial"/>
        </w:rPr>
      </w:pPr>
    </w:p>
    <w:p w:rsidR="00CB6748" w:rsidRDefault="00CB6748" w:rsidP="00CE566B">
      <w:pPr>
        <w:tabs>
          <w:tab w:val="left" w:pos="5835"/>
        </w:tabs>
        <w:spacing w:line="360" w:lineRule="auto"/>
        <w:jc w:val="both"/>
        <w:rPr>
          <w:rFonts w:ascii="Arial" w:hAnsi="Arial" w:cs="Arial"/>
        </w:rPr>
      </w:pPr>
    </w:p>
    <w:p w:rsidR="00CB6748" w:rsidRDefault="00CB6748" w:rsidP="00CE566B">
      <w:pPr>
        <w:tabs>
          <w:tab w:val="left" w:pos="5835"/>
        </w:tabs>
        <w:spacing w:line="360" w:lineRule="auto"/>
        <w:jc w:val="both"/>
        <w:rPr>
          <w:rFonts w:ascii="Arial" w:hAnsi="Arial" w:cs="Arial"/>
          <w:b/>
        </w:rPr>
      </w:pPr>
    </w:p>
    <w:p w:rsidR="00CB6748" w:rsidRDefault="00CB6748" w:rsidP="00CE566B">
      <w:pPr>
        <w:tabs>
          <w:tab w:val="left" w:pos="5835"/>
        </w:tabs>
        <w:spacing w:line="360" w:lineRule="auto"/>
        <w:jc w:val="both"/>
        <w:rPr>
          <w:rFonts w:ascii="Arial" w:hAnsi="Arial" w:cs="Arial"/>
          <w:b/>
        </w:rPr>
      </w:pPr>
    </w:p>
    <w:p w:rsidR="00CB6748" w:rsidRDefault="00CB6748" w:rsidP="00CE566B">
      <w:pPr>
        <w:tabs>
          <w:tab w:val="left" w:pos="5835"/>
        </w:tabs>
        <w:spacing w:line="360" w:lineRule="auto"/>
        <w:jc w:val="both"/>
        <w:rPr>
          <w:rFonts w:ascii="Arial" w:hAnsi="Arial" w:cs="Arial"/>
          <w:b/>
        </w:rPr>
      </w:pPr>
    </w:p>
    <w:p w:rsidR="001C6783" w:rsidRDefault="001C6783" w:rsidP="00CE566B">
      <w:pPr>
        <w:tabs>
          <w:tab w:val="left" w:pos="5835"/>
        </w:tabs>
        <w:spacing w:line="360" w:lineRule="auto"/>
        <w:jc w:val="both"/>
        <w:rPr>
          <w:rFonts w:ascii="Arial" w:hAnsi="Arial" w:cs="Arial"/>
        </w:rPr>
      </w:pPr>
    </w:p>
    <w:p w:rsidR="001C6783" w:rsidRPr="001C6783" w:rsidRDefault="001C6783" w:rsidP="001C6783">
      <w:pPr>
        <w:rPr>
          <w:rFonts w:ascii="Arial" w:hAnsi="Arial" w:cs="Arial"/>
        </w:rPr>
      </w:pPr>
    </w:p>
    <w:p w:rsidR="001C6783" w:rsidRPr="001C6783" w:rsidRDefault="001C6783" w:rsidP="001C6783">
      <w:pPr>
        <w:rPr>
          <w:rFonts w:ascii="Arial" w:hAnsi="Arial" w:cs="Arial"/>
        </w:rPr>
      </w:pPr>
    </w:p>
    <w:p w:rsidR="001C6783" w:rsidRPr="001C6783" w:rsidRDefault="001C6783" w:rsidP="001C6783">
      <w:pPr>
        <w:rPr>
          <w:rFonts w:ascii="Arial" w:hAnsi="Arial" w:cs="Arial"/>
        </w:rPr>
      </w:pPr>
    </w:p>
    <w:p w:rsidR="001C6783" w:rsidRPr="001C6783" w:rsidRDefault="001C6783" w:rsidP="001C6783">
      <w:pPr>
        <w:rPr>
          <w:rFonts w:ascii="Arial" w:hAnsi="Arial" w:cs="Arial"/>
        </w:rPr>
      </w:pPr>
    </w:p>
    <w:p w:rsidR="001C6783" w:rsidRPr="001C6783" w:rsidRDefault="001C6783" w:rsidP="001C6783">
      <w:pPr>
        <w:rPr>
          <w:rFonts w:ascii="Arial" w:hAnsi="Arial" w:cs="Arial"/>
        </w:rPr>
      </w:pPr>
    </w:p>
    <w:p w:rsidR="001C6783" w:rsidRPr="001C6783" w:rsidRDefault="001C6783" w:rsidP="001C6783">
      <w:pPr>
        <w:rPr>
          <w:rFonts w:ascii="Arial" w:hAnsi="Arial" w:cs="Arial"/>
        </w:rPr>
      </w:pPr>
    </w:p>
    <w:p w:rsidR="001C6783" w:rsidRPr="001C6783" w:rsidRDefault="001C6783" w:rsidP="001C6783">
      <w:pPr>
        <w:rPr>
          <w:rFonts w:ascii="Arial" w:hAnsi="Arial" w:cs="Arial"/>
        </w:rPr>
      </w:pPr>
    </w:p>
    <w:p w:rsidR="001C6783" w:rsidRDefault="001C6783" w:rsidP="001C6783">
      <w:pPr>
        <w:rPr>
          <w:rFonts w:ascii="Arial" w:hAnsi="Arial" w:cs="Arial"/>
        </w:rPr>
      </w:pPr>
    </w:p>
    <w:p w:rsidR="001C6783" w:rsidRDefault="001C6783" w:rsidP="001C6783">
      <w:pPr>
        <w:tabs>
          <w:tab w:val="left" w:pos="225"/>
          <w:tab w:val="center" w:pos="3969"/>
        </w:tabs>
        <w:jc w:val="left"/>
        <w:rPr>
          <w:rFonts w:ascii="Arial" w:hAnsi="Arial" w:cs="Arial"/>
        </w:rPr>
      </w:pPr>
    </w:p>
    <w:p w:rsidR="001C6783" w:rsidRDefault="001C6783" w:rsidP="001C6783">
      <w:pPr>
        <w:tabs>
          <w:tab w:val="left" w:pos="225"/>
          <w:tab w:val="center" w:pos="3969"/>
        </w:tabs>
        <w:jc w:val="left"/>
        <w:rPr>
          <w:rFonts w:ascii="Arial" w:hAnsi="Arial" w:cs="Arial"/>
        </w:rPr>
      </w:pPr>
    </w:p>
    <w:p w:rsidR="001C6783" w:rsidRDefault="001C6783" w:rsidP="001C6783">
      <w:pPr>
        <w:tabs>
          <w:tab w:val="left" w:pos="225"/>
          <w:tab w:val="center" w:pos="3969"/>
        </w:tabs>
        <w:jc w:val="left"/>
        <w:rPr>
          <w:rFonts w:ascii="Arial" w:hAnsi="Arial" w:cs="Arial"/>
        </w:rPr>
      </w:pPr>
    </w:p>
    <w:p w:rsidR="001C6783" w:rsidRDefault="001C6783" w:rsidP="001C6783">
      <w:pPr>
        <w:tabs>
          <w:tab w:val="left" w:pos="225"/>
          <w:tab w:val="center" w:pos="3969"/>
        </w:tabs>
        <w:jc w:val="left"/>
        <w:rPr>
          <w:rFonts w:ascii="Arial" w:hAnsi="Arial" w:cs="Arial"/>
        </w:rPr>
      </w:pPr>
    </w:p>
    <w:p w:rsidR="001C6783" w:rsidRDefault="001C6783" w:rsidP="001C6783">
      <w:pPr>
        <w:tabs>
          <w:tab w:val="left" w:pos="225"/>
          <w:tab w:val="center" w:pos="3969"/>
        </w:tabs>
        <w:jc w:val="left"/>
        <w:rPr>
          <w:rFonts w:ascii="Arial" w:hAnsi="Arial" w:cs="Arial"/>
        </w:rPr>
      </w:pPr>
    </w:p>
    <w:p w:rsidR="001C6783" w:rsidRDefault="001C6783" w:rsidP="001C6783">
      <w:pPr>
        <w:tabs>
          <w:tab w:val="left" w:pos="225"/>
          <w:tab w:val="center" w:pos="3969"/>
        </w:tabs>
        <w:jc w:val="left"/>
        <w:rPr>
          <w:rFonts w:ascii="Arial" w:hAnsi="Arial" w:cs="Arial"/>
        </w:rPr>
      </w:pPr>
    </w:p>
    <w:p w:rsidR="001C6783" w:rsidRDefault="001C6783" w:rsidP="001C6783">
      <w:pPr>
        <w:tabs>
          <w:tab w:val="left" w:pos="225"/>
          <w:tab w:val="center" w:pos="3969"/>
        </w:tabs>
        <w:jc w:val="left"/>
        <w:rPr>
          <w:rFonts w:ascii="Arial" w:hAnsi="Arial" w:cs="Arial"/>
        </w:rPr>
      </w:pPr>
    </w:p>
    <w:p w:rsidR="001C6783" w:rsidRDefault="001C6783" w:rsidP="001C6783">
      <w:pPr>
        <w:tabs>
          <w:tab w:val="left" w:pos="225"/>
          <w:tab w:val="center" w:pos="3969"/>
        </w:tabs>
        <w:jc w:val="left"/>
        <w:rPr>
          <w:rFonts w:ascii="Arial" w:hAnsi="Arial" w:cs="Arial"/>
        </w:rPr>
      </w:pPr>
    </w:p>
    <w:p w:rsidR="001C6783" w:rsidRDefault="001C6783" w:rsidP="001C6783">
      <w:pPr>
        <w:tabs>
          <w:tab w:val="left" w:pos="225"/>
          <w:tab w:val="center" w:pos="3969"/>
        </w:tabs>
        <w:jc w:val="left"/>
        <w:rPr>
          <w:rFonts w:ascii="Arial" w:hAnsi="Arial" w:cs="Arial"/>
        </w:rPr>
      </w:pPr>
    </w:p>
    <w:p w:rsidR="001C6783" w:rsidRDefault="001C6783" w:rsidP="001C6783">
      <w:pPr>
        <w:tabs>
          <w:tab w:val="left" w:pos="225"/>
          <w:tab w:val="center" w:pos="3969"/>
        </w:tabs>
        <w:jc w:val="left"/>
        <w:rPr>
          <w:rFonts w:ascii="Arial" w:hAnsi="Arial" w:cs="Arial"/>
        </w:rPr>
      </w:pPr>
    </w:p>
    <w:p w:rsidR="001C6783" w:rsidRDefault="001C6783" w:rsidP="001C6783">
      <w:pPr>
        <w:tabs>
          <w:tab w:val="left" w:pos="225"/>
          <w:tab w:val="center" w:pos="3969"/>
        </w:tabs>
        <w:jc w:val="left"/>
        <w:rPr>
          <w:rFonts w:ascii="Arial" w:hAnsi="Arial" w:cs="Arial"/>
        </w:rPr>
      </w:pPr>
    </w:p>
    <w:p w:rsidR="00CB6748" w:rsidRDefault="001C6783" w:rsidP="001C6783">
      <w:pPr>
        <w:tabs>
          <w:tab w:val="left" w:pos="225"/>
          <w:tab w:val="center" w:pos="3969"/>
        </w:tabs>
        <w:rPr>
          <w:rFonts w:ascii="Arial" w:hAnsi="Arial" w:cs="Arial"/>
          <w:b/>
        </w:rPr>
      </w:pPr>
      <w:r>
        <w:rPr>
          <w:rFonts w:ascii="Arial" w:hAnsi="Arial" w:cs="Arial"/>
          <w:b/>
        </w:rPr>
        <w:lastRenderedPageBreak/>
        <w:t>LEMBAR PENGESAHAN</w:t>
      </w:r>
    </w:p>
    <w:p w:rsidR="001C6783" w:rsidRDefault="001C6783" w:rsidP="001C6783">
      <w:pPr>
        <w:tabs>
          <w:tab w:val="left" w:pos="225"/>
          <w:tab w:val="center" w:pos="3969"/>
        </w:tabs>
        <w:jc w:val="both"/>
        <w:rPr>
          <w:rFonts w:ascii="Arial" w:hAnsi="Arial" w:cs="Arial"/>
          <w:b/>
        </w:rPr>
      </w:pPr>
    </w:p>
    <w:p w:rsidR="001C6783" w:rsidRDefault="001C6783" w:rsidP="001C6783">
      <w:pPr>
        <w:tabs>
          <w:tab w:val="left" w:pos="225"/>
          <w:tab w:val="center" w:pos="3969"/>
        </w:tabs>
        <w:jc w:val="both"/>
        <w:rPr>
          <w:rFonts w:ascii="Arial" w:hAnsi="Arial" w:cs="Arial"/>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
        <w:gridCol w:w="2551"/>
        <w:gridCol w:w="284"/>
        <w:gridCol w:w="4590"/>
      </w:tblGrid>
      <w:tr w:rsidR="006C15DC" w:rsidRPr="001C6783" w:rsidTr="00750368">
        <w:tc>
          <w:tcPr>
            <w:tcW w:w="513" w:type="dxa"/>
          </w:tcPr>
          <w:p w:rsidR="006C15DC" w:rsidRPr="001C6783" w:rsidRDefault="006C15DC" w:rsidP="006970F5">
            <w:pPr>
              <w:tabs>
                <w:tab w:val="left" w:pos="225"/>
                <w:tab w:val="center" w:pos="3969"/>
              </w:tabs>
              <w:rPr>
                <w:rFonts w:ascii="Arial" w:hAnsi="Arial" w:cs="Arial"/>
                <w:sz w:val="22"/>
                <w:szCs w:val="22"/>
              </w:rPr>
            </w:pPr>
            <w:r w:rsidRPr="001C6783">
              <w:rPr>
                <w:rFonts w:ascii="Arial" w:hAnsi="Arial" w:cs="Arial"/>
                <w:sz w:val="22"/>
                <w:szCs w:val="22"/>
              </w:rPr>
              <w:t>1.</w:t>
            </w:r>
          </w:p>
        </w:tc>
        <w:tc>
          <w:tcPr>
            <w:tcW w:w="2551" w:type="dxa"/>
          </w:tcPr>
          <w:p w:rsidR="006C15DC" w:rsidRPr="001C6783" w:rsidRDefault="006C15DC" w:rsidP="006970F5">
            <w:pPr>
              <w:tabs>
                <w:tab w:val="left" w:pos="225"/>
                <w:tab w:val="center" w:pos="3969"/>
              </w:tabs>
              <w:jc w:val="both"/>
              <w:rPr>
                <w:rFonts w:ascii="Arial" w:hAnsi="Arial" w:cs="Arial"/>
                <w:sz w:val="22"/>
                <w:szCs w:val="22"/>
              </w:rPr>
            </w:pPr>
            <w:r w:rsidRPr="001C6783">
              <w:rPr>
                <w:rFonts w:ascii="Arial" w:hAnsi="Arial" w:cs="Arial"/>
                <w:sz w:val="22"/>
                <w:szCs w:val="22"/>
              </w:rPr>
              <w:t>Judul</w:t>
            </w:r>
          </w:p>
        </w:tc>
        <w:tc>
          <w:tcPr>
            <w:tcW w:w="284" w:type="dxa"/>
          </w:tcPr>
          <w:p w:rsidR="006C15DC" w:rsidRPr="001C6783" w:rsidRDefault="006C15DC" w:rsidP="006970F5">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C15DC" w:rsidRPr="001C6783" w:rsidRDefault="006C15DC" w:rsidP="006970F5">
            <w:pPr>
              <w:jc w:val="left"/>
              <w:rPr>
                <w:rFonts w:ascii="Arial" w:hAnsi="Arial" w:cs="Arial"/>
                <w:sz w:val="22"/>
                <w:szCs w:val="22"/>
              </w:rPr>
            </w:pPr>
            <w:r w:rsidRPr="001C6783">
              <w:rPr>
                <w:rFonts w:ascii="Arial" w:hAnsi="Arial" w:cs="Arial"/>
                <w:sz w:val="22"/>
                <w:szCs w:val="22"/>
              </w:rPr>
              <w:t xml:space="preserve">Mencari Benang Merah Pemikiran Melayu-Jawa </w:t>
            </w:r>
            <w:r>
              <w:rPr>
                <w:rFonts w:ascii="Arial" w:hAnsi="Arial" w:cs="Arial"/>
                <w:sz w:val="22"/>
                <w:szCs w:val="22"/>
              </w:rPr>
              <w:t>m</w:t>
            </w:r>
            <w:r w:rsidRPr="001C6783">
              <w:rPr>
                <w:rFonts w:ascii="Arial" w:hAnsi="Arial" w:cs="Arial"/>
                <w:sz w:val="22"/>
                <w:szCs w:val="22"/>
              </w:rPr>
              <w:t>elalui Peng</w:t>
            </w:r>
            <w:r w:rsidR="00BF30F0">
              <w:rPr>
                <w:rFonts w:ascii="Arial" w:hAnsi="Arial" w:cs="Arial"/>
                <w:sz w:val="22"/>
                <w:szCs w:val="22"/>
              </w:rPr>
              <w:t>k</w:t>
            </w:r>
            <w:r w:rsidRPr="001C6783">
              <w:rPr>
                <w:rFonts w:ascii="Arial" w:hAnsi="Arial" w:cs="Arial"/>
                <w:sz w:val="22"/>
                <w:szCs w:val="22"/>
              </w:rPr>
              <w:t>ajian Manuskrip Kuna</w:t>
            </w:r>
          </w:p>
        </w:tc>
      </w:tr>
      <w:tr w:rsidR="006C15DC" w:rsidRPr="001C6783" w:rsidTr="00750368">
        <w:tc>
          <w:tcPr>
            <w:tcW w:w="513" w:type="dxa"/>
          </w:tcPr>
          <w:p w:rsidR="006C15DC" w:rsidRPr="001C6783" w:rsidRDefault="006C15DC" w:rsidP="001C6783">
            <w:pPr>
              <w:tabs>
                <w:tab w:val="left" w:pos="225"/>
                <w:tab w:val="center" w:pos="3969"/>
              </w:tabs>
              <w:rPr>
                <w:rFonts w:ascii="Arial" w:hAnsi="Arial" w:cs="Arial"/>
                <w:sz w:val="22"/>
                <w:szCs w:val="22"/>
              </w:rPr>
            </w:pPr>
            <w:r>
              <w:rPr>
                <w:rFonts w:ascii="Arial" w:hAnsi="Arial" w:cs="Arial"/>
                <w:sz w:val="22"/>
                <w:szCs w:val="22"/>
              </w:rPr>
              <w:t>2.</w:t>
            </w:r>
          </w:p>
        </w:tc>
        <w:tc>
          <w:tcPr>
            <w:tcW w:w="2551" w:type="dxa"/>
          </w:tcPr>
          <w:p w:rsidR="006C15DC" w:rsidRPr="001C6783" w:rsidRDefault="006C15DC" w:rsidP="001C6783">
            <w:pPr>
              <w:tabs>
                <w:tab w:val="left" w:pos="225"/>
                <w:tab w:val="center" w:pos="3969"/>
              </w:tabs>
              <w:jc w:val="both"/>
              <w:rPr>
                <w:rFonts w:ascii="Arial" w:hAnsi="Arial" w:cs="Arial"/>
                <w:sz w:val="22"/>
                <w:szCs w:val="22"/>
              </w:rPr>
            </w:pPr>
            <w:r>
              <w:rPr>
                <w:rFonts w:ascii="Arial" w:hAnsi="Arial" w:cs="Arial"/>
                <w:sz w:val="22"/>
                <w:szCs w:val="22"/>
              </w:rPr>
              <w:t>Ketua</w:t>
            </w:r>
          </w:p>
        </w:tc>
        <w:tc>
          <w:tcPr>
            <w:tcW w:w="284" w:type="dxa"/>
          </w:tcPr>
          <w:p w:rsidR="006C15DC" w:rsidRPr="001C6783" w:rsidRDefault="006C15DC" w:rsidP="001C6783">
            <w:pPr>
              <w:tabs>
                <w:tab w:val="left" w:pos="225"/>
                <w:tab w:val="center" w:pos="3969"/>
              </w:tabs>
              <w:jc w:val="both"/>
              <w:rPr>
                <w:rFonts w:ascii="Arial" w:hAnsi="Arial" w:cs="Arial"/>
                <w:sz w:val="22"/>
                <w:szCs w:val="22"/>
              </w:rPr>
            </w:pPr>
          </w:p>
        </w:tc>
        <w:tc>
          <w:tcPr>
            <w:tcW w:w="4590" w:type="dxa"/>
          </w:tcPr>
          <w:p w:rsidR="006C15DC" w:rsidRPr="001C6783" w:rsidRDefault="006C15DC" w:rsidP="001C6783">
            <w:pPr>
              <w:tabs>
                <w:tab w:val="left" w:pos="225"/>
                <w:tab w:val="center" w:pos="3969"/>
              </w:tabs>
              <w:jc w:val="both"/>
              <w:rPr>
                <w:rFonts w:ascii="Arial" w:hAnsi="Arial" w:cs="Arial"/>
                <w:sz w:val="22"/>
                <w:szCs w:val="22"/>
              </w:rPr>
            </w:pPr>
          </w:p>
        </w:tc>
      </w:tr>
      <w:tr w:rsidR="006C15DC" w:rsidRPr="001C6783" w:rsidTr="00750368">
        <w:tc>
          <w:tcPr>
            <w:tcW w:w="513" w:type="dxa"/>
          </w:tcPr>
          <w:p w:rsidR="006C15DC" w:rsidRPr="001C6783" w:rsidRDefault="006C15DC" w:rsidP="001C6783">
            <w:pPr>
              <w:tabs>
                <w:tab w:val="left" w:pos="225"/>
                <w:tab w:val="center" w:pos="3969"/>
              </w:tabs>
              <w:rPr>
                <w:rFonts w:ascii="Arial" w:hAnsi="Arial" w:cs="Arial"/>
                <w:sz w:val="22"/>
                <w:szCs w:val="22"/>
              </w:rPr>
            </w:pPr>
          </w:p>
        </w:tc>
        <w:tc>
          <w:tcPr>
            <w:tcW w:w="2551" w:type="dxa"/>
          </w:tcPr>
          <w:p w:rsidR="006C15DC" w:rsidRPr="001C6783" w:rsidRDefault="006C15DC" w:rsidP="001C6783">
            <w:pPr>
              <w:tabs>
                <w:tab w:val="left" w:pos="225"/>
                <w:tab w:val="center" w:pos="3969"/>
              </w:tabs>
              <w:jc w:val="both"/>
              <w:rPr>
                <w:rFonts w:ascii="Arial" w:hAnsi="Arial" w:cs="Arial"/>
                <w:sz w:val="22"/>
                <w:szCs w:val="22"/>
              </w:rPr>
            </w:pPr>
            <w:r>
              <w:rPr>
                <w:rFonts w:ascii="Arial" w:hAnsi="Arial" w:cs="Arial"/>
                <w:sz w:val="22"/>
                <w:szCs w:val="22"/>
              </w:rPr>
              <w:t>a. Nama</w:t>
            </w:r>
          </w:p>
        </w:tc>
        <w:tc>
          <w:tcPr>
            <w:tcW w:w="284" w:type="dxa"/>
          </w:tcPr>
          <w:p w:rsidR="006C15DC" w:rsidRDefault="006C15DC" w:rsidP="001C6783">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C15DC" w:rsidRDefault="006C15DC" w:rsidP="001C6783">
            <w:pPr>
              <w:tabs>
                <w:tab w:val="left" w:pos="225"/>
                <w:tab w:val="center" w:pos="3969"/>
              </w:tabs>
              <w:jc w:val="both"/>
              <w:rPr>
                <w:rFonts w:ascii="Arial" w:hAnsi="Arial" w:cs="Arial"/>
                <w:sz w:val="22"/>
                <w:szCs w:val="22"/>
              </w:rPr>
            </w:pPr>
            <w:r>
              <w:rPr>
                <w:rFonts w:ascii="Arial" w:hAnsi="Arial" w:cs="Arial"/>
                <w:sz w:val="22"/>
                <w:szCs w:val="22"/>
              </w:rPr>
              <w:t>Prof. Dr. Endang Nurhayati, M. Hum.</w:t>
            </w:r>
          </w:p>
        </w:tc>
      </w:tr>
      <w:tr w:rsidR="006C15DC" w:rsidRPr="001C6783" w:rsidTr="00750368">
        <w:tc>
          <w:tcPr>
            <w:tcW w:w="513" w:type="dxa"/>
          </w:tcPr>
          <w:p w:rsidR="006C15DC" w:rsidRPr="001C6783" w:rsidRDefault="006C15DC" w:rsidP="001C6783">
            <w:pPr>
              <w:tabs>
                <w:tab w:val="left" w:pos="225"/>
                <w:tab w:val="center" w:pos="3969"/>
              </w:tabs>
              <w:rPr>
                <w:rFonts w:ascii="Arial" w:hAnsi="Arial" w:cs="Arial"/>
                <w:sz w:val="22"/>
                <w:szCs w:val="22"/>
              </w:rPr>
            </w:pPr>
          </w:p>
        </w:tc>
        <w:tc>
          <w:tcPr>
            <w:tcW w:w="2551" w:type="dxa"/>
          </w:tcPr>
          <w:p w:rsidR="006C15DC" w:rsidRPr="001C6783" w:rsidRDefault="006C15DC" w:rsidP="001C6783">
            <w:pPr>
              <w:tabs>
                <w:tab w:val="left" w:pos="225"/>
                <w:tab w:val="center" w:pos="3969"/>
              </w:tabs>
              <w:jc w:val="both"/>
              <w:rPr>
                <w:rFonts w:ascii="Arial" w:hAnsi="Arial" w:cs="Arial"/>
                <w:sz w:val="22"/>
                <w:szCs w:val="22"/>
              </w:rPr>
            </w:pPr>
            <w:r>
              <w:rPr>
                <w:rFonts w:ascii="Arial" w:hAnsi="Arial" w:cs="Arial"/>
                <w:sz w:val="22"/>
                <w:szCs w:val="22"/>
              </w:rPr>
              <w:t>b. NIP</w:t>
            </w:r>
          </w:p>
        </w:tc>
        <w:tc>
          <w:tcPr>
            <w:tcW w:w="284" w:type="dxa"/>
          </w:tcPr>
          <w:p w:rsidR="006C15DC" w:rsidRDefault="006C15DC" w:rsidP="001C6783">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C15DC" w:rsidRPr="006970F5" w:rsidRDefault="006970F5" w:rsidP="006970F5">
            <w:pPr>
              <w:tabs>
                <w:tab w:val="left" w:pos="225"/>
                <w:tab w:val="center" w:pos="3969"/>
              </w:tabs>
              <w:jc w:val="both"/>
              <w:rPr>
                <w:rFonts w:ascii="Arial" w:hAnsi="Arial" w:cs="Arial"/>
                <w:sz w:val="22"/>
                <w:szCs w:val="22"/>
              </w:rPr>
            </w:pPr>
            <w:r w:rsidRPr="006970F5">
              <w:rPr>
                <w:rFonts w:ascii="Arial" w:hAnsi="Arial" w:cs="Arial"/>
                <w:sz w:val="22"/>
                <w:szCs w:val="22"/>
              </w:rPr>
              <w:t>19571231 198303 2 004</w:t>
            </w:r>
          </w:p>
        </w:tc>
      </w:tr>
      <w:tr w:rsidR="006C15DC" w:rsidRPr="001C6783" w:rsidTr="00750368">
        <w:tc>
          <w:tcPr>
            <w:tcW w:w="513" w:type="dxa"/>
          </w:tcPr>
          <w:p w:rsidR="006C15DC" w:rsidRPr="001C6783" w:rsidRDefault="006C15DC" w:rsidP="001C6783">
            <w:pPr>
              <w:tabs>
                <w:tab w:val="left" w:pos="225"/>
                <w:tab w:val="center" w:pos="3969"/>
              </w:tabs>
              <w:rPr>
                <w:rFonts w:ascii="Arial" w:hAnsi="Arial" w:cs="Arial"/>
                <w:sz w:val="22"/>
                <w:szCs w:val="22"/>
              </w:rPr>
            </w:pPr>
          </w:p>
        </w:tc>
        <w:tc>
          <w:tcPr>
            <w:tcW w:w="2551" w:type="dxa"/>
          </w:tcPr>
          <w:p w:rsidR="006C15DC" w:rsidRPr="001C6783" w:rsidRDefault="006C15DC" w:rsidP="001C6783">
            <w:pPr>
              <w:tabs>
                <w:tab w:val="left" w:pos="225"/>
                <w:tab w:val="center" w:pos="3969"/>
              </w:tabs>
              <w:jc w:val="both"/>
              <w:rPr>
                <w:rFonts w:ascii="Arial" w:hAnsi="Arial" w:cs="Arial"/>
                <w:sz w:val="22"/>
                <w:szCs w:val="22"/>
              </w:rPr>
            </w:pPr>
            <w:r>
              <w:rPr>
                <w:rFonts w:ascii="Arial" w:hAnsi="Arial" w:cs="Arial"/>
                <w:sz w:val="22"/>
                <w:szCs w:val="22"/>
              </w:rPr>
              <w:t>c. Jurusan</w:t>
            </w:r>
          </w:p>
        </w:tc>
        <w:tc>
          <w:tcPr>
            <w:tcW w:w="284" w:type="dxa"/>
          </w:tcPr>
          <w:p w:rsidR="006C15DC" w:rsidRDefault="006C15DC" w:rsidP="001C6783">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C15DC" w:rsidRDefault="006C15DC" w:rsidP="001C6783">
            <w:pPr>
              <w:tabs>
                <w:tab w:val="left" w:pos="225"/>
                <w:tab w:val="center" w:pos="3969"/>
              </w:tabs>
              <w:jc w:val="both"/>
              <w:rPr>
                <w:rFonts w:ascii="Arial" w:hAnsi="Arial" w:cs="Arial"/>
                <w:sz w:val="22"/>
                <w:szCs w:val="22"/>
              </w:rPr>
            </w:pPr>
            <w:r>
              <w:rPr>
                <w:rFonts w:ascii="Arial" w:hAnsi="Arial" w:cs="Arial"/>
                <w:sz w:val="22"/>
                <w:szCs w:val="22"/>
              </w:rPr>
              <w:t>Pendidikan Bahasa Daerah</w:t>
            </w:r>
          </w:p>
        </w:tc>
      </w:tr>
      <w:tr w:rsidR="006C15DC" w:rsidRPr="001C6783" w:rsidTr="00750368">
        <w:tc>
          <w:tcPr>
            <w:tcW w:w="513" w:type="dxa"/>
          </w:tcPr>
          <w:p w:rsidR="006C15DC" w:rsidRPr="001C6783" w:rsidRDefault="006C15DC" w:rsidP="001C6783">
            <w:pPr>
              <w:tabs>
                <w:tab w:val="left" w:pos="225"/>
                <w:tab w:val="center" w:pos="3969"/>
              </w:tabs>
              <w:rPr>
                <w:rFonts w:ascii="Arial" w:hAnsi="Arial" w:cs="Arial"/>
                <w:sz w:val="22"/>
                <w:szCs w:val="22"/>
              </w:rPr>
            </w:pPr>
          </w:p>
        </w:tc>
        <w:tc>
          <w:tcPr>
            <w:tcW w:w="2551" w:type="dxa"/>
          </w:tcPr>
          <w:p w:rsidR="006C15DC" w:rsidRPr="001C6783" w:rsidRDefault="006C15DC" w:rsidP="001C6783">
            <w:pPr>
              <w:tabs>
                <w:tab w:val="left" w:pos="225"/>
                <w:tab w:val="center" w:pos="3969"/>
              </w:tabs>
              <w:jc w:val="both"/>
              <w:rPr>
                <w:rFonts w:ascii="Arial" w:hAnsi="Arial" w:cs="Arial"/>
                <w:sz w:val="22"/>
                <w:szCs w:val="22"/>
              </w:rPr>
            </w:pPr>
            <w:r>
              <w:rPr>
                <w:rFonts w:ascii="Arial" w:hAnsi="Arial" w:cs="Arial"/>
                <w:sz w:val="22"/>
                <w:szCs w:val="22"/>
              </w:rPr>
              <w:t>d. Bidang Keahlian</w:t>
            </w:r>
          </w:p>
        </w:tc>
        <w:tc>
          <w:tcPr>
            <w:tcW w:w="284" w:type="dxa"/>
          </w:tcPr>
          <w:p w:rsidR="006C15DC" w:rsidRDefault="006C15DC" w:rsidP="001C6783">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C15DC" w:rsidRDefault="006C15DC" w:rsidP="001C6783">
            <w:pPr>
              <w:tabs>
                <w:tab w:val="left" w:pos="225"/>
                <w:tab w:val="center" w:pos="3969"/>
              </w:tabs>
              <w:jc w:val="both"/>
              <w:rPr>
                <w:rFonts w:ascii="Arial" w:hAnsi="Arial" w:cs="Arial"/>
                <w:sz w:val="22"/>
                <w:szCs w:val="22"/>
              </w:rPr>
            </w:pPr>
            <w:r>
              <w:rPr>
                <w:rFonts w:ascii="Arial" w:hAnsi="Arial" w:cs="Arial"/>
                <w:sz w:val="22"/>
                <w:szCs w:val="22"/>
              </w:rPr>
              <w:t>Bahasa dan Budaya Jawa</w:t>
            </w:r>
          </w:p>
        </w:tc>
      </w:tr>
      <w:tr w:rsidR="006C15DC" w:rsidRPr="001C6783" w:rsidTr="00750368">
        <w:tc>
          <w:tcPr>
            <w:tcW w:w="513" w:type="dxa"/>
          </w:tcPr>
          <w:p w:rsidR="006C15DC" w:rsidRPr="001C6783" w:rsidRDefault="006C15DC" w:rsidP="001C6783">
            <w:pPr>
              <w:tabs>
                <w:tab w:val="left" w:pos="225"/>
                <w:tab w:val="center" w:pos="3969"/>
              </w:tabs>
              <w:rPr>
                <w:rFonts w:ascii="Arial" w:hAnsi="Arial" w:cs="Arial"/>
                <w:sz w:val="22"/>
                <w:szCs w:val="22"/>
              </w:rPr>
            </w:pPr>
          </w:p>
        </w:tc>
        <w:tc>
          <w:tcPr>
            <w:tcW w:w="2551" w:type="dxa"/>
          </w:tcPr>
          <w:p w:rsidR="006C15DC" w:rsidRPr="001C6783" w:rsidRDefault="006C15DC" w:rsidP="001C6783">
            <w:pPr>
              <w:tabs>
                <w:tab w:val="left" w:pos="225"/>
                <w:tab w:val="center" w:pos="3969"/>
              </w:tabs>
              <w:jc w:val="both"/>
              <w:rPr>
                <w:rFonts w:ascii="Arial" w:hAnsi="Arial" w:cs="Arial"/>
                <w:sz w:val="22"/>
                <w:szCs w:val="22"/>
              </w:rPr>
            </w:pPr>
            <w:r>
              <w:rPr>
                <w:rFonts w:ascii="Arial" w:hAnsi="Arial" w:cs="Arial"/>
                <w:sz w:val="22"/>
                <w:szCs w:val="22"/>
              </w:rPr>
              <w:t>e. Fakultas/ Jurusan</w:t>
            </w:r>
          </w:p>
        </w:tc>
        <w:tc>
          <w:tcPr>
            <w:tcW w:w="284" w:type="dxa"/>
          </w:tcPr>
          <w:p w:rsidR="006C15DC" w:rsidRDefault="006C15DC" w:rsidP="001C6783">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C15DC" w:rsidRDefault="006C15DC" w:rsidP="001C6783">
            <w:pPr>
              <w:tabs>
                <w:tab w:val="left" w:pos="225"/>
                <w:tab w:val="center" w:pos="3969"/>
              </w:tabs>
              <w:jc w:val="both"/>
              <w:rPr>
                <w:rFonts w:ascii="Arial" w:hAnsi="Arial" w:cs="Arial"/>
                <w:sz w:val="22"/>
                <w:szCs w:val="22"/>
              </w:rPr>
            </w:pPr>
            <w:r>
              <w:rPr>
                <w:rFonts w:ascii="Arial" w:hAnsi="Arial" w:cs="Arial"/>
                <w:sz w:val="22"/>
                <w:szCs w:val="22"/>
              </w:rPr>
              <w:t>Fakultas Bahasa dan Seni/ Jurusan Pendidikan Bahasa Daerah</w:t>
            </w:r>
          </w:p>
        </w:tc>
      </w:tr>
      <w:tr w:rsidR="006C15DC" w:rsidRPr="001C6783" w:rsidTr="00750368">
        <w:tc>
          <w:tcPr>
            <w:tcW w:w="513" w:type="dxa"/>
          </w:tcPr>
          <w:p w:rsidR="006C15DC" w:rsidRPr="001C6783" w:rsidRDefault="006C15DC" w:rsidP="001C6783">
            <w:pPr>
              <w:tabs>
                <w:tab w:val="left" w:pos="225"/>
                <w:tab w:val="center" w:pos="3969"/>
              </w:tabs>
              <w:rPr>
                <w:rFonts w:ascii="Arial" w:hAnsi="Arial" w:cs="Arial"/>
                <w:sz w:val="22"/>
                <w:szCs w:val="22"/>
              </w:rPr>
            </w:pPr>
          </w:p>
        </w:tc>
        <w:tc>
          <w:tcPr>
            <w:tcW w:w="2551" w:type="dxa"/>
          </w:tcPr>
          <w:p w:rsidR="006C15DC" w:rsidRPr="001C6783" w:rsidRDefault="006970F5" w:rsidP="001C6783">
            <w:pPr>
              <w:tabs>
                <w:tab w:val="left" w:pos="225"/>
                <w:tab w:val="center" w:pos="3969"/>
              </w:tabs>
              <w:jc w:val="both"/>
              <w:rPr>
                <w:rFonts w:ascii="Arial" w:hAnsi="Arial" w:cs="Arial"/>
                <w:sz w:val="22"/>
                <w:szCs w:val="22"/>
              </w:rPr>
            </w:pPr>
            <w:r>
              <w:rPr>
                <w:rFonts w:ascii="Arial" w:hAnsi="Arial" w:cs="Arial"/>
                <w:sz w:val="22"/>
                <w:szCs w:val="22"/>
              </w:rPr>
              <w:t>f. Perguruan Tinggi</w:t>
            </w:r>
          </w:p>
        </w:tc>
        <w:tc>
          <w:tcPr>
            <w:tcW w:w="284" w:type="dxa"/>
          </w:tcPr>
          <w:p w:rsidR="006C15DC" w:rsidRDefault="006970F5" w:rsidP="001C6783">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C15DC" w:rsidRDefault="006970F5" w:rsidP="001C6783">
            <w:pPr>
              <w:tabs>
                <w:tab w:val="left" w:pos="225"/>
                <w:tab w:val="center" w:pos="3969"/>
              </w:tabs>
              <w:jc w:val="both"/>
              <w:rPr>
                <w:rFonts w:ascii="Arial" w:hAnsi="Arial" w:cs="Arial"/>
                <w:sz w:val="22"/>
                <w:szCs w:val="22"/>
              </w:rPr>
            </w:pPr>
            <w:r>
              <w:rPr>
                <w:rFonts w:ascii="Arial" w:hAnsi="Arial" w:cs="Arial"/>
                <w:sz w:val="22"/>
                <w:szCs w:val="22"/>
              </w:rPr>
              <w:t>Universitas Negeri Yogyakarta</w:t>
            </w:r>
          </w:p>
        </w:tc>
      </w:tr>
      <w:tr w:rsidR="006C15DC" w:rsidRPr="001C6783" w:rsidTr="00750368">
        <w:tc>
          <w:tcPr>
            <w:tcW w:w="513" w:type="dxa"/>
          </w:tcPr>
          <w:p w:rsidR="006C15DC" w:rsidRPr="001C6783" w:rsidRDefault="006C15DC" w:rsidP="001C6783">
            <w:pPr>
              <w:tabs>
                <w:tab w:val="left" w:pos="225"/>
                <w:tab w:val="center" w:pos="3969"/>
              </w:tabs>
              <w:rPr>
                <w:rFonts w:ascii="Arial" w:hAnsi="Arial" w:cs="Arial"/>
                <w:sz w:val="22"/>
                <w:szCs w:val="22"/>
              </w:rPr>
            </w:pPr>
          </w:p>
        </w:tc>
        <w:tc>
          <w:tcPr>
            <w:tcW w:w="2551" w:type="dxa"/>
          </w:tcPr>
          <w:p w:rsidR="006C15DC" w:rsidRPr="001C6783" w:rsidRDefault="006970F5" w:rsidP="001C6783">
            <w:pPr>
              <w:tabs>
                <w:tab w:val="left" w:pos="225"/>
                <w:tab w:val="center" w:pos="3969"/>
              </w:tabs>
              <w:jc w:val="both"/>
              <w:rPr>
                <w:rFonts w:ascii="Arial" w:hAnsi="Arial" w:cs="Arial"/>
                <w:sz w:val="22"/>
                <w:szCs w:val="22"/>
              </w:rPr>
            </w:pPr>
            <w:r>
              <w:rPr>
                <w:rFonts w:ascii="Arial" w:hAnsi="Arial" w:cs="Arial"/>
                <w:sz w:val="22"/>
                <w:szCs w:val="22"/>
              </w:rPr>
              <w:t>g. Telp.</w:t>
            </w:r>
          </w:p>
        </w:tc>
        <w:tc>
          <w:tcPr>
            <w:tcW w:w="284" w:type="dxa"/>
          </w:tcPr>
          <w:p w:rsidR="006C15DC" w:rsidRDefault="006970F5" w:rsidP="001C6783">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C15DC" w:rsidRDefault="00BF30F0" w:rsidP="001C6783">
            <w:pPr>
              <w:tabs>
                <w:tab w:val="left" w:pos="225"/>
                <w:tab w:val="center" w:pos="3969"/>
              </w:tabs>
              <w:jc w:val="both"/>
              <w:rPr>
                <w:rFonts w:ascii="Arial" w:hAnsi="Arial" w:cs="Arial"/>
                <w:sz w:val="22"/>
                <w:szCs w:val="22"/>
              </w:rPr>
            </w:pPr>
            <w:r>
              <w:rPr>
                <w:rFonts w:ascii="Arial" w:hAnsi="Arial" w:cs="Arial"/>
                <w:sz w:val="22"/>
                <w:szCs w:val="22"/>
              </w:rPr>
              <w:t>081328075547</w:t>
            </w:r>
          </w:p>
        </w:tc>
      </w:tr>
      <w:tr w:rsidR="006C15DC" w:rsidRPr="001C6783" w:rsidTr="00750368">
        <w:tc>
          <w:tcPr>
            <w:tcW w:w="513" w:type="dxa"/>
          </w:tcPr>
          <w:p w:rsidR="006C15DC" w:rsidRPr="001C6783" w:rsidRDefault="006C15DC" w:rsidP="001C6783">
            <w:pPr>
              <w:tabs>
                <w:tab w:val="left" w:pos="225"/>
                <w:tab w:val="center" w:pos="3969"/>
              </w:tabs>
              <w:rPr>
                <w:rFonts w:ascii="Arial" w:hAnsi="Arial" w:cs="Arial"/>
                <w:sz w:val="22"/>
                <w:szCs w:val="22"/>
              </w:rPr>
            </w:pPr>
          </w:p>
        </w:tc>
        <w:tc>
          <w:tcPr>
            <w:tcW w:w="2551" w:type="dxa"/>
          </w:tcPr>
          <w:p w:rsidR="006C15DC" w:rsidRPr="001C6783" w:rsidRDefault="006C15DC" w:rsidP="001C6783">
            <w:pPr>
              <w:tabs>
                <w:tab w:val="left" w:pos="225"/>
                <w:tab w:val="center" w:pos="3969"/>
              </w:tabs>
              <w:jc w:val="both"/>
              <w:rPr>
                <w:rFonts w:ascii="Arial" w:hAnsi="Arial" w:cs="Arial"/>
                <w:sz w:val="22"/>
                <w:szCs w:val="22"/>
              </w:rPr>
            </w:pPr>
          </w:p>
        </w:tc>
        <w:tc>
          <w:tcPr>
            <w:tcW w:w="284" w:type="dxa"/>
          </w:tcPr>
          <w:p w:rsidR="006C15DC" w:rsidRPr="001C6783" w:rsidRDefault="006C15DC" w:rsidP="001C6783">
            <w:pPr>
              <w:tabs>
                <w:tab w:val="left" w:pos="225"/>
                <w:tab w:val="center" w:pos="3969"/>
              </w:tabs>
              <w:jc w:val="both"/>
              <w:rPr>
                <w:rFonts w:ascii="Arial" w:hAnsi="Arial" w:cs="Arial"/>
                <w:sz w:val="22"/>
                <w:szCs w:val="22"/>
              </w:rPr>
            </w:pPr>
          </w:p>
        </w:tc>
        <w:tc>
          <w:tcPr>
            <w:tcW w:w="4590" w:type="dxa"/>
          </w:tcPr>
          <w:p w:rsidR="006C15DC" w:rsidRPr="001C6783" w:rsidRDefault="006C15DC" w:rsidP="001C6783">
            <w:pPr>
              <w:tabs>
                <w:tab w:val="left" w:pos="225"/>
                <w:tab w:val="center" w:pos="3969"/>
              </w:tabs>
              <w:jc w:val="both"/>
              <w:rPr>
                <w:rFonts w:ascii="Arial" w:hAnsi="Arial" w:cs="Arial"/>
                <w:sz w:val="22"/>
                <w:szCs w:val="22"/>
              </w:rPr>
            </w:pPr>
          </w:p>
        </w:tc>
      </w:tr>
      <w:tr w:rsidR="006C15DC" w:rsidRPr="001C6783" w:rsidTr="00750368">
        <w:tc>
          <w:tcPr>
            <w:tcW w:w="513" w:type="dxa"/>
          </w:tcPr>
          <w:p w:rsidR="006C15DC" w:rsidRPr="001C6783" w:rsidRDefault="006970F5" w:rsidP="001C6783">
            <w:pPr>
              <w:tabs>
                <w:tab w:val="left" w:pos="225"/>
                <w:tab w:val="center" w:pos="3969"/>
              </w:tabs>
              <w:rPr>
                <w:rFonts w:ascii="Arial" w:hAnsi="Arial" w:cs="Arial"/>
                <w:sz w:val="22"/>
                <w:szCs w:val="22"/>
              </w:rPr>
            </w:pPr>
            <w:r>
              <w:rPr>
                <w:rFonts w:ascii="Arial" w:hAnsi="Arial" w:cs="Arial"/>
                <w:sz w:val="22"/>
                <w:szCs w:val="22"/>
              </w:rPr>
              <w:t>3.</w:t>
            </w:r>
          </w:p>
        </w:tc>
        <w:tc>
          <w:tcPr>
            <w:tcW w:w="2551" w:type="dxa"/>
          </w:tcPr>
          <w:p w:rsidR="006C15DC" w:rsidRPr="001C6783" w:rsidRDefault="006970F5" w:rsidP="001C6783">
            <w:pPr>
              <w:tabs>
                <w:tab w:val="left" w:pos="225"/>
                <w:tab w:val="center" w:pos="3969"/>
              </w:tabs>
              <w:jc w:val="both"/>
              <w:rPr>
                <w:rFonts w:ascii="Arial" w:hAnsi="Arial" w:cs="Arial"/>
                <w:sz w:val="22"/>
                <w:szCs w:val="22"/>
              </w:rPr>
            </w:pPr>
            <w:r>
              <w:rPr>
                <w:rFonts w:ascii="Arial" w:hAnsi="Arial" w:cs="Arial"/>
                <w:sz w:val="22"/>
                <w:szCs w:val="22"/>
              </w:rPr>
              <w:t>Tim Peneliti</w:t>
            </w:r>
          </w:p>
        </w:tc>
        <w:tc>
          <w:tcPr>
            <w:tcW w:w="284" w:type="dxa"/>
          </w:tcPr>
          <w:p w:rsidR="006C15DC" w:rsidRPr="001C6783" w:rsidRDefault="006970F5" w:rsidP="001C6783">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C15DC" w:rsidRPr="001C6783" w:rsidRDefault="006970F5" w:rsidP="001C6783">
            <w:pPr>
              <w:tabs>
                <w:tab w:val="left" w:pos="225"/>
                <w:tab w:val="center" w:pos="3969"/>
              </w:tabs>
              <w:jc w:val="both"/>
              <w:rPr>
                <w:rFonts w:ascii="Arial" w:hAnsi="Arial" w:cs="Arial"/>
                <w:sz w:val="22"/>
                <w:szCs w:val="22"/>
              </w:rPr>
            </w:pPr>
            <w:r>
              <w:rPr>
                <w:rFonts w:ascii="Arial" w:hAnsi="Arial" w:cs="Arial"/>
                <w:sz w:val="22"/>
                <w:szCs w:val="22"/>
              </w:rPr>
              <w:t>Hesti Mulyani, M. Hum.</w:t>
            </w:r>
          </w:p>
        </w:tc>
      </w:tr>
      <w:tr w:rsidR="006970F5" w:rsidRPr="001C6783" w:rsidTr="00750368">
        <w:tc>
          <w:tcPr>
            <w:tcW w:w="513" w:type="dxa"/>
          </w:tcPr>
          <w:p w:rsidR="006970F5" w:rsidRDefault="006970F5" w:rsidP="001C6783">
            <w:pPr>
              <w:tabs>
                <w:tab w:val="left" w:pos="225"/>
                <w:tab w:val="center" w:pos="3969"/>
              </w:tabs>
              <w:rPr>
                <w:rFonts w:ascii="Arial" w:hAnsi="Arial" w:cs="Arial"/>
                <w:sz w:val="22"/>
                <w:szCs w:val="22"/>
              </w:rPr>
            </w:pPr>
          </w:p>
        </w:tc>
        <w:tc>
          <w:tcPr>
            <w:tcW w:w="2551" w:type="dxa"/>
          </w:tcPr>
          <w:p w:rsidR="006970F5" w:rsidRDefault="006970F5" w:rsidP="001C6783">
            <w:pPr>
              <w:tabs>
                <w:tab w:val="left" w:pos="225"/>
                <w:tab w:val="center" w:pos="3969"/>
              </w:tabs>
              <w:jc w:val="both"/>
              <w:rPr>
                <w:rFonts w:ascii="Arial" w:hAnsi="Arial" w:cs="Arial"/>
                <w:sz w:val="22"/>
                <w:szCs w:val="22"/>
              </w:rPr>
            </w:pPr>
          </w:p>
        </w:tc>
        <w:tc>
          <w:tcPr>
            <w:tcW w:w="284" w:type="dxa"/>
          </w:tcPr>
          <w:p w:rsidR="006970F5" w:rsidRDefault="006970F5" w:rsidP="001C6783">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970F5" w:rsidRDefault="006970F5" w:rsidP="001C6783">
            <w:pPr>
              <w:tabs>
                <w:tab w:val="left" w:pos="225"/>
                <w:tab w:val="center" w:pos="3969"/>
              </w:tabs>
              <w:jc w:val="both"/>
              <w:rPr>
                <w:rFonts w:ascii="Arial" w:hAnsi="Arial" w:cs="Arial"/>
                <w:sz w:val="22"/>
                <w:szCs w:val="22"/>
              </w:rPr>
            </w:pPr>
            <w:r>
              <w:rPr>
                <w:rFonts w:ascii="Arial" w:hAnsi="Arial" w:cs="Arial"/>
                <w:sz w:val="22"/>
                <w:szCs w:val="22"/>
              </w:rPr>
              <w:t>Mulyana, M. Hum.</w:t>
            </w:r>
          </w:p>
        </w:tc>
      </w:tr>
      <w:tr w:rsidR="006970F5" w:rsidRPr="001C6783" w:rsidTr="00750368">
        <w:tc>
          <w:tcPr>
            <w:tcW w:w="513" w:type="dxa"/>
          </w:tcPr>
          <w:p w:rsidR="006970F5" w:rsidRDefault="006970F5" w:rsidP="001C6783">
            <w:pPr>
              <w:tabs>
                <w:tab w:val="left" w:pos="225"/>
                <w:tab w:val="center" w:pos="3969"/>
              </w:tabs>
              <w:rPr>
                <w:rFonts w:ascii="Arial" w:hAnsi="Arial" w:cs="Arial"/>
                <w:sz w:val="22"/>
                <w:szCs w:val="22"/>
              </w:rPr>
            </w:pPr>
          </w:p>
        </w:tc>
        <w:tc>
          <w:tcPr>
            <w:tcW w:w="2551" w:type="dxa"/>
          </w:tcPr>
          <w:p w:rsidR="006970F5" w:rsidRDefault="006970F5" w:rsidP="001C6783">
            <w:pPr>
              <w:tabs>
                <w:tab w:val="left" w:pos="225"/>
                <w:tab w:val="center" w:pos="3969"/>
              </w:tabs>
              <w:jc w:val="both"/>
              <w:rPr>
                <w:rFonts w:ascii="Arial" w:hAnsi="Arial" w:cs="Arial"/>
                <w:sz w:val="22"/>
                <w:szCs w:val="22"/>
              </w:rPr>
            </w:pPr>
          </w:p>
        </w:tc>
        <w:tc>
          <w:tcPr>
            <w:tcW w:w="284" w:type="dxa"/>
          </w:tcPr>
          <w:p w:rsidR="006970F5" w:rsidRDefault="006970F5" w:rsidP="001C6783">
            <w:pPr>
              <w:tabs>
                <w:tab w:val="left" w:pos="225"/>
                <w:tab w:val="center" w:pos="3969"/>
              </w:tabs>
              <w:jc w:val="both"/>
              <w:rPr>
                <w:rFonts w:ascii="Arial" w:hAnsi="Arial" w:cs="Arial"/>
                <w:sz w:val="22"/>
                <w:szCs w:val="22"/>
              </w:rPr>
            </w:pPr>
            <w:r>
              <w:rPr>
                <w:rFonts w:ascii="Arial" w:hAnsi="Arial" w:cs="Arial"/>
                <w:sz w:val="22"/>
                <w:szCs w:val="22"/>
              </w:rPr>
              <w:t>:</w:t>
            </w:r>
          </w:p>
        </w:tc>
        <w:tc>
          <w:tcPr>
            <w:tcW w:w="4590" w:type="dxa"/>
          </w:tcPr>
          <w:p w:rsidR="006970F5" w:rsidRDefault="006970F5" w:rsidP="001C6783">
            <w:pPr>
              <w:tabs>
                <w:tab w:val="left" w:pos="225"/>
                <w:tab w:val="center" w:pos="3969"/>
              </w:tabs>
              <w:jc w:val="both"/>
              <w:rPr>
                <w:rFonts w:ascii="Arial" w:hAnsi="Arial" w:cs="Arial"/>
                <w:sz w:val="22"/>
                <w:szCs w:val="22"/>
              </w:rPr>
            </w:pPr>
            <w:r>
              <w:rPr>
                <w:rFonts w:ascii="Arial" w:hAnsi="Arial" w:cs="Arial"/>
                <w:sz w:val="22"/>
                <w:szCs w:val="22"/>
              </w:rPr>
              <w:t>Venny Indria Ekowati, M. Litt.</w:t>
            </w:r>
          </w:p>
        </w:tc>
      </w:tr>
      <w:tr w:rsidR="006970F5" w:rsidRPr="001C6783" w:rsidTr="00750368">
        <w:tc>
          <w:tcPr>
            <w:tcW w:w="513" w:type="dxa"/>
          </w:tcPr>
          <w:p w:rsidR="006970F5" w:rsidRDefault="006970F5" w:rsidP="001C6783">
            <w:pPr>
              <w:tabs>
                <w:tab w:val="left" w:pos="225"/>
                <w:tab w:val="center" w:pos="3969"/>
              </w:tabs>
              <w:rPr>
                <w:rFonts w:ascii="Arial" w:hAnsi="Arial" w:cs="Arial"/>
                <w:sz w:val="22"/>
                <w:szCs w:val="22"/>
              </w:rPr>
            </w:pPr>
          </w:p>
        </w:tc>
        <w:tc>
          <w:tcPr>
            <w:tcW w:w="2551" w:type="dxa"/>
          </w:tcPr>
          <w:p w:rsidR="006970F5" w:rsidRDefault="006970F5" w:rsidP="001C6783">
            <w:pPr>
              <w:tabs>
                <w:tab w:val="left" w:pos="225"/>
                <w:tab w:val="center" w:pos="3969"/>
              </w:tabs>
              <w:jc w:val="both"/>
              <w:rPr>
                <w:rFonts w:ascii="Arial" w:hAnsi="Arial" w:cs="Arial"/>
                <w:sz w:val="22"/>
                <w:szCs w:val="22"/>
              </w:rPr>
            </w:pPr>
          </w:p>
        </w:tc>
        <w:tc>
          <w:tcPr>
            <w:tcW w:w="284" w:type="dxa"/>
          </w:tcPr>
          <w:p w:rsidR="006970F5" w:rsidRDefault="006970F5" w:rsidP="001C6783">
            <w:pPr>
              <w:tabs>
                <w:tab w:val="left" w:pos="225"/>
                <w:tab w:val="center" w:pos="3969"/>
              </w:tabs>
              <w:jc w:val="both"/>
              <w:rPr>
                <w:rFonts w:ascii="Arial" w:hAnsi="Arial" w:cs="Arial"/>
                <w:sz w:val="22"/>
                <w:szCs w:val="22"/>
              </w:rPr>
            </w:pPr>
          </w:p>
        </w:tc>
        <w:tc>
          <w:tcPr>
            <w:tcW w:w="4590" w:type="dxa"/>
          </w:tcPr>
          <w:p w:rsidR="006970F5" w:rsidRDefault="006970F5" w:rsidP="001C6783">
            <w:pPr>
              <w:tabs>
                <w:tab w:val="left" w:pos="225"/>
                <w:tab w:val="center" w:pos="3969"/>
              </w:tabs>
              <w:jc w:val="both"/>
              <w:rPr>
                <w:rFonts w:ascii="Arial" w:hAnsi="Arial" w:cs="Arial"/>
                <w:sz w:val="22"/>
                <w:szCs w:val="22"/>
              </w:rPr>
            </w:pPr>
          </w:p>
        </w:tc>
      </w:tr>
      <w:tr w:rsidR="006970F5" w:rsidRPr="001C6783" w:rsidTr="00750368">
        <w:tc>
          <w:tcPr>
            <w:tcW w:w="513" w:type="dxa"/>
          </w:tcPr>
          <w:p w:rsidR="006970F5" w:rsidRDefault="006970F5" w:rsidP="006970F5">
            <w:pPr>
              <w:tabs>
                <w:tab w:val="left" w:pos="225"/>
                <w:tab w:val="center" w:pos="3969"/>
              </w:tabs>
              <w:jc w:val="both"/>
              <w:rPr>
                <w:rFonts w:ascii="Arial" w:hAnsi="Arial" w:cs="Arial"/>
                <w:sz w:val="22"/>
                <w:szCs w:val="22"/>
              </w:rPr>
            </w:pPr>
          </w:p>
        </w:tc>
        <w:tc>
          <w:tcPr>
            <w:tcW w:w="2551" w:type="dxa"/>
          </w:tcPr>
          <w:p w:rsidR="006970F5" w:rsidRDefault="006970F5" w:rsidP="001C6783">
            <w:pPr>
              <w:tabs>
                <w:tab w:val="left" w:pos="225"/>
                <w:tab w:val="center" w:pos="3969"/>
              </w:tabs>
              <w:jc w:val="both"/>
              <w:rPr>
                <w:rFonts w:ascii="Arial" w:hAnsi="Arial" w:cs="Arial"/>
                <w:sz w:val="22"/>
                <w:szCs w:val="22"/>
              </w:rPr>
            </w:pPr>
          </w:p>
        </w:tc>
        <w:tc>
          <w:tcPr>
            <w:tcW w:w="284" w:type="dxa"/>
          </w:tcPr>
          <w:p w:rsidR="006970F5" w:rsidRDefault="006970F5" w:rsidP="001C6783">
            <w:pPr>
              <w:tabs>
                <w:tab w:val="left" w:pos="225"/>
                <w:tab w:val="center" w:pos="3969"/>
              </w:tabs>
              <w:jc w:val="both"/>
              <w:rPr>
                <w:rFonts w:ascii="Arial" w:hAnsi="Arial" w:cs="Arial"/>
                <w:sz w:val="22"/>
                <w:szCs w:val="22"/>
              </w:rPr>
            </w:pPr>
          </w:p>
        </w:tc>
        <w:tc>
          <w:tcPr>
            <w:tcW w:w="4590" w:type="dxa"/>
          </w:tcPr>
          <w:p w:rsidR="006970F5" w:rsidRDefault="006970F5" w:rsidP="001C6783">
            <w:pPr>
              <w:tabs>
                <w:tab w:val="left" w:pos="225"/>
                <w:tab w:val="center" w:pos="3969"/>
              </w:tabs>
              <w:jc w:val="both"/>
              <w:rPr>
                <w:rFonts w:ascii="Arial" w:hAnsi="Arial" w:cs="Arial"/>
                <w:sz w:val="22"/>
                <w:szCs w:val="22"/>
              </w:rPr>
            </w:pPr>
          </w:p>
        </w:tc>
      </w:tr>
    </w:tbl>
    <w:p w:rsidR="001C6783" w:rsidRDefault="001C6783" w:rsidP="001C6783">
      <w:pPr>
        <w:tabs>
          <w:tab w:val="left" w:pos="225"/>
          <w:tab w:val="center" w:pos="3969"/>
        </w:tabs>
        <w:jc w:val="both"/>
        <w:rPr>
          <w:rFonts w:ascii="Arial" w:hAnsi="Arial" w:cs="Arial"/>
          <w:b/>
        </w:rPr>
      </w:pPr>
    </w:p>
    <w:p w:rsidR="006970F5" w:rsidRDefault="006970F5" w:rsidP="001C6783">
      <w:pPr>
        <w:tabs>
          <w:tab w:val="left" w:pos="225"/>
          <w:tab w:val="center" w:pos="3969"/>
        </w:tabs>
        <w:jc w:val="both"/>
        <w:rPr>
          <w:rFonts w:ascii="Arial" w:hAnsi="Arial" w:cs="Arial"/>
          <w:b/>
        </w:rPr>
      </w:pPr>
    </w:p>
    <w:p w:rsidR="006970F5" w:rsidRPr="00750368" w:rsidRDefault="006970F5" w:rsidP="006970F5">
      <w:pPr>
        <w:tabs>
          <w:tab w:val="left" w:pos="225"/>
          <w:tab w:val="center" w:pos="3969"/>
        </w:tabs>
        <w:jc w:val="right"/>
        <w:rPr>
          <w:rFonts w:ascii="Arial" w:hAnsi="Arial" w:cs="Arial"/>
          <w:sz w:val="22"/>
          <w:szCs w:val="22"/>
        </w:rPr>
      </w:pPr>
      <w:r w:rsidRPr="00750368">
        <w:rPr>
          <w:rFonts w:ascii="Arial" w:hAnsi="Arial" w:cs="Arial"/>
          <w:sz w:val="22"/>
          <w:szCs w:val="22"/>
        </w:rPr>
        <w:t>Yogyakarta, 05 Desember 2011</w:t>
      </w:r>
    </w:p>
    <w:p w:rsidR="006970F5" w:rsidRPr="00750368" w:rsidRDefault="006970F5" w:rsidP="006970F5">
      <w:pPr>
        <w:tabs>
          <w:tab w:val="left" w:pos="225"/>
          <w:tab w:val="center" w:pos="3969"/>
        </w:tabs>
        <w:jc w:val="both"/>
        <w:rPr>
          <w:rFonts w:ascii="Arial" w:hAnsi="Arial" w:cs="Arial"/>
          <w:sz w:val="22"/>
          <w:szCs w:val="22"/>
        </w:rPr>
      </w:pPr>
    </w:p>
    <w:p w:rsidR="006970F5" w:rsidRPr="00750368" w:rsidRDefault="006970F5" w:rsidP="006970F5">
      <w:pPr>
        <w:tabs>
          <w:tab w:val="left" w:pos="225"/>
          <w:tab w:val="center" w:pos="3969"/>
        </w:tabs>
        <w:jc w:val="both"/>
        <w:rPr>
          <w:rFonts w:ascii="Arial" w:hAnsi="Arial" w:cs="Arial"/>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3969"/>
      </w:tblGrid>
      <w:tr w:rsidR="006970F5" w:rsidRPr="00750368" w:rsidTr="00750368">
        <w:tc>
          <w:tcPr>
            <w:tcW w:w="3969" w:type="dxa"/>
          </w:tcPr>
          <w:p w:rsidR="006970F5" w:rsidRPr="00750368" w:rsidRDefault="00750368" w:rsidP="00750368">
            <w:pPr>
              <w:tabs>
                <w:tab w:val="left" w:pos="225"/>
                <w:tab w:val="center" w:pos="3969"/>
              </w:tabs>
              <w:rPr>
                <w:rFonts w:ascii="Arial" w:hAnsi="Arial" w:cs="Arial"/>
                <w:sz w:val="22"/>
                <w:szCs w:val="22"/>
              </w:rPr>
            </w:pPr>
            <w:r w:rsidRPr="00750368">
              <w:rPr>
                <w:rFonts w:ascii="Arial" w:hAnsi="Arial" w:cs="Arial"/>
                <w:sz w:val="22"/>
                <w:szCs w:val="22"/>
              </w:rPr>
              <w:t>Mengetahui,</w:t>
            </w:r>
          </w:p>
        </w:tc>
        <w:tc>
          <w:tcPr>
            <w:tcW w:w="3969" w:type="dxa"/>
          </w:tcPr>
          <w:p w:rsidR="006970F5" w:rsidRPr="00750368" w:rsidRDefault="006970F5" w:rsidP="00750368">
            <w:pPr>
              <w:tabs>
                <w:tab w:val="left" w:pos="225"/>
                <w:tab w:val="center" w:pos="3969"/>
              </w:tabs>
              <w:rPr>
                <w:rFonts w:ascii="Arial" w:hAnsi="Arial" w:cs="Arial"/>
                <w:sz w:val="22"/>
                <w:szCs w:val="22"/>
              </w:rPr>
            </w:pPr>
            <w:r w:rsidRPr="00750368">
              <w:rPr>
                <w:rFonts w:ascii="Arial" w:hAnsi="Arial" w:cs="Arial"/>
                <w:sz w:val="22"/>
                <w:szCs w:val="22"/>
              </w:rPr>
              <w:t>Ketua Tim Peneliti</w:t>
            </w:r>
          </w:p>
        </w:tc>
      </w:tr>
      <w:tr w:rsidR="006970F5" w:rsidRPr="00750368" w:rsidTr="00750368">
        <w:tc>
          <w:tcPr>
            <w:tcW w:w="3969" w:type="dxa"/>
          </w:tcPr>
          <w:p w:rsidR="006970F5" w:rsidRPr="00750368" w:rsidRDefault="006970F5" w:rsidP="00750368">
            <w:pPr>
              <w:tabs>
                <w:tab w:val="left" w:pos="225"/>
                <w:tab w:val="center" w:pos="3969"/>
              </w:tabs>
              <w:rPr>
                <w:rFonts w:ascii="Arial" w:hAnsi="Arial" w:cs="Arial"/>
                <w:sz w:val="22"/>
                <w:szCs w:val="22"/>
              </w:rPr>
            </w:pPr>
            <w:r w:rsidRPr="00750368">
              <w:rPr>
                <w:rFonts w:ascii="Arial" w:hAnsi="Arial" w:cs="Arial"/>
                <w:sz w:val="22"/>
                <w:szCs w:val="22"/>
              </w:rPr>
              <w:t>Dekan FBS</w:t>
            </w:r>
          </w:p>
        </w:tc>
        <w:tc>
          <w:tcPr>
            <w:tcW w:w="3969" w:type="dxa"/>
          </w:tcPr>
          <w:p w:rsidR="006970F5" w:rsidRPr="00750368" w:rsidRDefault="006970F5" w:rsidP="00750368">
            <w:pPr>
              <w:tabs>
                <w:tab w:val="left" w:pos="225"/>
                <w:tab w:val="center" w:pos="3969"/>
              </w:tabs>
              <w:rPr>
                <w:rFonts w:ascii="Arial" w:hAnsi="Arial" w:cs="Arial"/>
                <w:sz w:val="22"/>
                <w:szCs w:val="22"/>
              </w:rPr>
            </w:pPr>
          </w:p>
        </w:tc>
      </w:tr>
      <w:tr w:rsidR="006970F5" w:rsidRPr="00750368" w:rsidTr="00750368">
        <w:tc>
          <w:tcPr>
            <w:tcW w:w="3969" w:type="dxa"/>
          </w:tcPr>
          <w:p w:rsidR="006970F5" w:rsidRPr="00750368" w:rsidRDefault="006970F5" w:rsidP="006970F5">
            <w:pPr>
              <w:tabs>
                <w:tab w:val="left" w:pos="225"/>
                <w:tab w:val="center" w:pos="3969"/>
              </w:tabs>
              <w:jc w:val="both"/>
              <w:rPr>
                <w:rFonts w:ascii="Arial" w:hAnsi="Arial" w:cs="Arial"/>
                <w:sz w:val="22"/>
                <w:szCs w:val="22"/>
              </w:rPr>
            </w:pPr>
          </w:p>
        </w:tc>
        <w:tc>
          <w:tcPr>
            <w:tcW w:w="3969" w:type="dxa"/>
          </w:tcPr>
          <w:p w:rsidR="006970F5" w:rsidRPr="00750368" w:rsidRDefault="006970F5" w:rsidP="006970F5">
            <w:pPr>
              <w:tabs>
                <w:tab w:val="left" w:pos="225"/>
                <w:tab w:val="center" w:pos="3969"/>
              </w:tabs>
              <w:jc w:val="both"/>
              <w:rPr>
                <w:rFonts w:ascii="Arial" w:hAnsi="Arial" w:cs="Arial"/>
                <w:sz w:val="22"/>
                <w:szCs w:val="22"/>
              </w:rPr>
            </w:pPr>
          </w:p>
        </w:tc>
      </w:tr>
      <w:tr w:rsidR="006970F5" w:rsidRPr="00750368" w:rsidTr="00750368">
        <w:tc>
          <w:tcPr>
            <w:tcW w:w="3969" w:type="dxa"/>
          </w:tcPr>
          <w:p w:rsidR="006970F5" w:rsidRPr="00750368" w:rsidRDefault="006970F5" w:rsidP="006970F5">
            <w:pPr>
              <w:tabs>
                <w:tab w:val="left" w:pos="225"/>
                <w:tab w:val="center" w:pos="3969"/>
              </w:tabs>
              <w:jc w:val="both"/>
              <w:rPr>
                <w:rFonts w:ascii="Arial" w:hAnsi="Arial" w:cs="Arial"/>
                <w:sz w:val="22"/>
                <w:szCs w:val="22"/>
              </w:rPr>
            </w:pPr>
          </w:p>
        </w:tc>
        <w:tc>
          <w:tcPr>
            <w:tcW w:w="3969" w:type="dxa"/>
          </w:tcPr>
          <w:p w:rsidR="006970F5" w:rsidRPr="00750368" w:rsidRDefault="006970F5" w:rsidP="006970F5">
            <w:pPr>
              <w:tabs>
                <w:tab w:val="left" w:pos="225"/>
                <w:tab w:val="center" w:pos="3969"/>
              </w:tabs>
              <w:jc w:val="both"/>
              <w:rPr>
                <w:rFonts w:ascii="Arial" w:hAnsi="Arial" w:cs="Arial"/>
                <w:sz w:val="22"/>
                <w:szCs w:val="22"/>
              </w:rPr>
            </w:pPr>
          </w:p>
        </w:tc>
      </w:tr>
      <w:tr w:rsidR="006970F5" w:rsidRPr="00750368" w:rsidTr="00750368">
        <w:tc>
          <w:tcPr>
            <w:tcW w:w="3969" w:type="dxa"/>
          </w:tcPr>
          <w:p w:rsidR="006970F5" w:rsidRPr="00750368" w:rsidRDefault="006970F5" w:rsidP="006970F5">
            <w:pPr>
              <w:tabs>
                <w:tab w:val="left" w:pos="225"/>
                <w:tab w:val="center" w:pos="3969"/>
              </w:tabs>
              <w:jc w:val="both"/>
              <w:rPr>
                <w:rFonts w:ascii="Arial" w:hAnsi="Arial" w:cs="Arial"/>
                <w:sz w:val="22"/>
                <w:szCs w:val="22"/>
              </w:rPr>
            </w:pPr>
          </w:p>
        </w:tc>
        <w:tc>
          <w:tcPr>
            <w:tcW w:w="3969" w:type="dxa"/>
          </w:tcPr>
          <w:p w:rsidR="006970F5" w:rsidRPr="00750368" w:rsidRDefault="006970F5" w:rsidP="006970F5">
            <w:pPr>
              <w:tabs>
                <w:tab w:val="left" w:pos="225"/>
                <w:tab w:val="center" w:pos="3969"/>
              </w:tabs>
              <w:jc w:val="both"/>
              <w:rPr>
                <w:rFonts w:ascii="Arial" w:hAnsi="Arial" w:cs="Arial"/>
                <w:sz w:val="22"/>
                <w:szCs w:val="22"/>
              </w:rPr>
            </w:pPr>
          </w:p>
        </w:tc>
      </w:tr>
      <w:tr w:rsidR="006970F5" w:rsidRPr="00750368" w:rsidTr="00750368">
        <w:tc>
          <w:tcPr>
            <w:tcW w:w="3969" w:type="dxa"/>
          </w:tcPr>
          <w:p w:rsidR="006970F5" w:rsidRPr="00750368" w:rsidRDefault="006970F5" w:rsidP="006970F5">
            <w:pPr>
              <w:tabs>
                <w:tab w:val="left" w:pos="225"/>
                <w:tab w:val="center" w:pos="3969"/>
              </w:tabs>
              <w:jc w:val="both"/>
              <w:rPr>
                <w:rFonts w:ascii="Arial" w:hAnsi="Arial" w:cs="Arial"/>
                <w:sz w:val="22"/>
                <w:szCs w:val="22"/>
              </w:rPr>
            </w:pPr>
          </w:p>
        </w:tc>
        <w:tc>
          <w:tcPr>
            <w:tcW w:w="3969" w:type="dxa"/>
          </w:tcPr>
          <w:p w:rsidR="006970F5" w:rsidRPr="00750368" w:rsidRDefault="006970F5" w:rsidP="006970F5">
            <w:pPr>
              <w:tabs>
                <w:tab w:val="left" w:pos="225"/>
                <w:tab w:val="center" w:pos="3969"/>
              </w:tabs>
              <w:jc w:val="both"/>
              <w:rPr>
                <w:rFonts w:ascii="Arial" w:hAnsi="Arial" w:cs="Arial"/>
                <w:sz w:val="22"/>
                <w:szCs w:val="22"/>
              </w:rPr>
            </w:pPr>
          </w:p>
        </w:tc>
      </w:tr>
      <w:tr w:rsidR="006970F5" w:rsidRPr="00750368" w:rsidTr="00750368">
        <w:tc>
          <w:tcPr>
            <w:tcW w:w="3969" w:type="dxa"/>
          </w:tcPr>
          <w:p w:rsidR="006970F5" w:rsidRPr="00750368" w:rsidRDefault="006970F5" w:rsidP="006970F5">
            <w:pPr>
              <w:tabs>
                <w:tab w:val="left" w:pos="225"/>
                <w:tab w:val="center" w:pos="3969"/>
              </w:tabs>
              <w:jc w:val="both"/>
              <w:rPr>
                <w:rFonts w:ascii="Arial" w:hAnsi="Arial" w:cs="Arial"/>
                <w:sz w:val="22"/>
                <w:szCs w:val="22"/>
              </w:rPr>
            </w:pPr>
          </w:p>
        </w:tc>
        <w:tc>
          <w:tcPr>
            <w:tcW w:w="3969" w:type="dxa"/>
          </w:tcPr>
          <w:p w:rsidR="006970F5" w:rsidRPr="00750368" w:rsidRDefault="006970F5" w:rsidP="006970F5">
            <w:pPr>
              <w:tabs>
                <w:tab w:val="left" w:pos="225"/>
                <w:tab w:val="center" w:pos="3969"/>
              </w:tabs>
              <w:jc w:val="both"/>
              <w:rPr>
                <w:rFonts w:ascii="Arial" w:hAnsi="Arial" w:cs="Arial"/>
                <w:sz w:val="22"/>
                <w:szCs w:val="22"/>
              </w:rPr>
            </w:pPr>
          </w:p>
        </w:tc>
      </w:tr>
      <w:tr w:rsidR="006970F5" w:rsidRPr="00750368" w:rsidTr="00750368">
        <w:tc>
          <w:tcPr>
            <w:tcW w:w="3969" w:type="dxa"/>
          </w:tcPr>
          <w:p w:rsidR="006970F5" w:rsidRPr="00750368" w:rsidRDefault="006970F5" w:rsidP="00750368">
            <w:pPr>
              <w:tabs>
                <w:tab w:val="left" w:pos="225"/>
                <w:tab w:val="center" w:pos="3969"/>
              </w:tabs>
              <w:rPr>
                <w:rFonts w:ascii="Arial" w:hAnsi="Arial" w:cs="Arial"/>
                <w:sz w:val="22"/>
                <w:szCs w:val="22"/>
              </w:rPr>
            </w:pPr>
            <w:r w:rsidRPr="00750368">
              <w:rPr>
                <w:rFonts w:ascii="Arial" w:hAnsi="Arial" w:cs="Arial"/>
                <w:sz w:val="22"/>
                <w:szCs w:val="22"/>
              </w:rPr>
              <w:t>Prof. Dr. Zamzani</w:t>
            </w:r>
          </w:p>
        </w:tc>
        <w:tc>
          <w:tcPr>
            <w:tcW w:w="3969" w:type="dxa"/>
          </w:tcPr>
          <w:p w:rsidR="006970F5" w:rsidRPr="00750368" w:rsidRDefault="006970F5" w:rsidP="00750368">
            <w:pPr>
              <w:tabs>
                <w:tab w:val="left" w:pos="225"/>
                <w:tab w:val="center" w:pos="3969"/>
              </w:tabs>
              <w:rPr>
                <w:rFonts w:ascii="Arial" w:hAnsi="Arial" w:cs="Arial"/>
                <w:sz w:val="22"/>
                <w:szCs w:val="22"/>
              </w:rPr>
            </w:pPr>
            <w:r w:rsidRPr="00750368">
              <w:rPr>
                <w:rFonts w:ascii="Arial" w:hAnsi="Arial" w:cs="Arial"/>
                <w:sz w:val="22"/>
                <w:szCs w:val="22"/>
              </w:rPr>
              <w:t>Prof. Dr. Endang Nurhayati, M. Hum.</w:t>
            </w:r>
          </w:p>
        </w:tc>
      </w:tr>
      <w:tr w:rsidR="006970F5" w:rsidRPr="00750368" w:rsidTr="00750368">
        <w:tc>
          <w:tcPr>
            <w:tcW w:w="3969" w:type="dxa"/>
          </w:tcPr>
          <w:p w:rsidR="006970F5" w:rsidRPr="00750368" w:rsidRDefault="006970F5" w:rsidP="00750368">
            <w:pPr>
              <w:tabs>
                <w:tab w:val="left" w:pos="225"/>
                <w:tab w:val="center" w:pos="3969"/>
              </w:tabs>
              <w:rPr>
                <w:rFonts w:ascii="Arial" w:hAnsi="Arial" w:cs="Arial"/>
                <w:sz w:val="22"/>
                <w:szCs w:val="22"/>
              </w:rPr>
            </w:pPr>
            <w:r w:rsidRPr="00750368">
              <w:rPr>
                <w:rFonts w:ascii="Arial" w:hAnsi="Arial" w:cs="Arial"/>
                <w:sz w:val="22"/>
                <w:szCs w:val="22"/>
              </w:rPr>
              <w:t xml:space="preserve">NIP </w:t>
            </w:r>
            <w:r w:rsidRPr="00750368">
              <w:rPr>
                <w:rFonts w:ascii="Arial" w:hAnsi="Arial" w:cs="Arial"/>
                <w:color w:val="000000"/>
                <w:sz w:val="22"/>
                <w:szCs w:val="22"/>
                <w:lang w:val="id-ID"/>
              </w:rPr>
              <w:t>19550505 198011 1  001</w:t>
            </w:r>
          </w:p>
        </w:tc>
        <w:tc>
          <w:tcPr>
            <w:tcW w:w="3969" w:type="dxa"/>
          </w:tcPr>
          <w:p w:rsidR="006970F5" w:rsidRPr="00750368" w:rsidRDefault="006970F5" w:rsidP="00750368">
            <w:pPr>
              <w:tabs>
                <w:tab w:val="left" w:pos="225"/>
                <w:tab w:val="center" w:pos="3969"/>
              </w:tabs>
              <w:rPr>
                <w:rFonts w:ascii="Arial" w:hAnsi="Arial" w:cs="Arial"/>
                <w:sz w:val="22"/>
                <w:szCs w:val="22"/>
              </w:rPr>
            </w:pPr>
            <w:r w:rsidRPr="00750368">
              <w:rPr>
                <w:rFonts w:ascii="Arial" w:hAnsi="Arial" w:cs="Arial"/>
                <w:sz w:val="22"/>
                <w:szCs w:val="22"/>
              </w:rPr>
              <w:t>NIP 19571231 198303 2 004</w:t>
            </w:r>
          </w:p>
        </w:tc>
      </w:tr>
    </w:tbl>
    <w:p w:rsidR="006970F5" w:rsidRPr="00750368" w:rsidRDefault="006970F5" w:rsidP="006970F5">
      <w:pPr>
        <w:tabs>
          <w:tab w:val="left" w:pos="225"/>
          <w:tab w:val="center" w:pos="3969"/>
        </w:tabs>
        <w:rPr>
          <w:rFonts w:ascii="Arial" w:hAnsi="Arial" w:cs="Arial"/>
          <w:sz w:val="22"/>
          <w:szCs w:val="22"/>
        </w:rPr>
      </w:pPr>
    </w:p>
    <w:p w:rsidR="00750368" w:rsidRDefault="00750368" w:rsidP="006970F5">
      <w:pPr>
        <w:tabs>
          <w:tab w:val="left" w:pos="225"/>
          <w:tab w:val="center" w:pos="3969"/>
        </w:tabs>
        <w:rPr>
          <w:rFonts w:ascii="Arial" w:hAnsi="Arial" w:cs="Arial"/>
          <w:sz w:val="22"/>
          <w:szCs w:val="22"/>
        </w:rPr>
      </w:pPr>
    </w:p>
    <w:p w:rsidR="00750368" w:rsidRDefault="00750368" w:rsidP="006970F5">
      <w:pPr>
        <w:tabs>
          <w:tab w:val="left" w:pos="225"/>
          <w:tab w:val="center" w:pos="3969"/>
        </w:tabs>
        <w:rPr>
          <w:rFonts w:ascii="Arial" w:hAnsi="Arial" w:cs="Arial"/>
          <w:sz w:val="22"/>
          <w:szCs w:val="22"/>
        </w:rPr>
      </w:pPr>
    </w:p>
    <w:p w:rsidR="006970F5" w:rsidRPr="00750368" w:rsidRDefault="006970F5" w:rsidP="006970F5">
      <w:pPr>
        <w:tabs>
          <w:tab w:val="left" w:pos="225"/>
          <w:tab w:val="center" w:pos="3969"/>
        </w:tabs>
        <w:rPr>
          <w:rFonts w:ascii="Arial" w:hAnsi="Arial" w:cs="Arial"/>
          <w:sz w:val="22"/>
          <w:szCs w:val="22"/>
        </w:rPr>
      </w:pPr>
      <w:r w:rsidRPr="00750368">
        <w:rPr>
          <w:rFonts w:ascii="Arial" w:hAnsi="Arial" w:cs="Arial"/>
          <w:sz w:val="22"/>
          <w:szCs w:val="22"/>
        </w:rPr>
        <w:t>Mengetahui,</w:t>
      </w:r>
    </w:p>
    <w:p w:rsidR="006970F5" w:rsidRPr="00750368" w:rsidRDefault="006970F5" w:rsidP="006970F5">
      <w:pPr>
        <w:tabs>
          <w:tab w:val="left" w:pos="225"/>
          <w:tab w:val="center" w:pos="3969"/>
        </w:tabs>
        <w:rPr>
          <w:rFonts w:ascii="Arial" w:hAnsi="Arial" w:cs="Arial"/>
          <w:sz w:val="22"/>
          <w:szCs w:val="22"/>
        </w:rPr>
      </w:pPr>
      <w:r w:rsidRPr="00750368">
        <w:rPr>
          <w:rFonts w:ascii="Arial" w:hAnsi="Arial" w:cs="Arial"/>
          <w:sz w:val="22"/>
          <w:szCs w:val="22"/>
        </w:rPr>
        <w:t>Ket</w:t>
      </w:r>
      <w:r w:rsidR="00750368" w:rsidRPr="00750368">
        <w:rPr>
          <w:rFonts w:ascii="Arial" w:hAnsi="Arial" w:cs="Arial"/>
          <w:sz w:val="22"/>
          <w:szCs w:val="22"/>
        </w:rPr>
        <w:t>ua LPPM UNY</w:t>
      </w:r>
    </w:p>
    <w:p w:rsidR="00750368" w:rsidRPr="00750368" w:rsidRDefault="00750368" w:rsidP="006970F5">
      <w:pPr>
        <w:tabs>
          <w:tab w:val="left" w:pos="225"/>
          <w:tab w:val="center" w:pos="3969"/>
        </w:tabs>
        <w:rPr>
          <w:rFonts w:ascii="Arial" w:hAnsi="Arial" w:cs="Arial"/>
          <w:sz w:val="22"/>
          <w:szCs w:val="22"/>
        </w:rPr>
      </w:pPr>
    </w:p>
    <w:p w:rsidR="00750368" w:rsidRPr="00750368" w:rsidRDefault="00750368" w:rsidP="006970F5">
      <w:pPr>
        <w:tabs>
          <w:tab w:val="left" w:pos="225"/>
          <w:tab w:val="center" w:pos="3969"/>
        </w:tabs>
        <w:rPr>
          <w:rFonts w:ascii="Arial" w:hAnsi="Arial" w:cs="Arial"/>
          <w:sz w:val="22"/>
          <w:szCs w:val="22"/>
        </w:rPr>
      </w:pPr>
    </w:p>
    <w:p w:rsidR="00750368" w:rsidRPr="00750368" w:rsidRDefault="00750368" w:rsidP="006970F5">
      <w:pPr>
        <w:tabs>
          <w:tab w:val="left" w:pos="225"/>
          <w:tab w:val="center" w:pos="3969"/>
        </w:tabs>
        <w:rPr>
          <w:rFonts w:ascii="Arial" w:hAnsi="Arial" w:cs="Arial"/>
          <w:sz w:val="22"/>
          <w:szCs w:val="22"/>
        </w:rPr>
      </w:pPr>
    </w:p>
    <w:p w:rsidR="00750368" w:rsidRPr="00750368" w:rsidRDefault="00750368" w:rsidP="006970F5">
      <w:pPr>
        <w:tabs>
          <w:tab w:val="left" w:pos="225"/>
          <w:tab w:val="center" w:pos="3969"/>
        </w:tabs>
        <w:rPr>
          <w:rFonts w:ascii="Arial" w:hAnsi="Arial" w:cs="Arial"/>
          <w:sz w:val="22"/>
          <w:szCs w:val="22"/>
        </w:rPr>
      </w:pPr>
    </w:p>
    <w:p w:rsidR="00750368" w:rsidRPr="00750368" w:rsidRDefault="00750368" w:rsidP="006970F5">
      <w:pPr>
        <w:tabs>
          <w:tab w:val="left" w:pos="225"/>
          <w:tab w:val="center" w:pos="3969"/>
        </w:tabs>
        <w:rPr>
          <w:rFonts w:ascii="Arial" w:hAnsi="Arial" w:cs="Arial"/>
          <w:sz w:val="22"/>
          <w:szCs w:val="22"/>
        </w:rPr>
      </w:pPr>
    </w:p>
    <w:p w:rsidR="00750368" w:rsidRPr="00750368" w:rsidRDefault="00750368" w:rsidP="006970F5">
      <w:pPr>
        <w:tabs>
          <w:tab w:val="left" w:pos="225"/>
          <w:tab w:val="center" w:pos="3969"/>
        </w:tabs>
        <w:rPr>
          <w:rFonts w:ascii="Arial" w:hAnsi="Arial" w:cs="Arial"/>
          <w:sz w:val="22"/>
          <w:szCs w:val="22"/>
        </w:rPr>
      </w:pPr>
      <w:r w:rsidRPr="00750368">
        <w:rPr>
          <w:rFonts w:ascii="Arial" w:hAnsi="Arial" w:cs="Arial"/>
          <w:sz w:val="22"/>
          <w:szCs w:val="22"/>
        </w:rPr>
        <w:t>Prof. Sukardi, Ph. D.</w:t>
      </w:r>
    </w:p>
    <w:p w:rsidR="00750368" w:rsidRPr="00750368" w:rsidRDefault="00750368" w:rsidP="006970F5">
      <w:pPr>
        <w:tabs>
          <w:tab w:val="left" w:pos="225"/>
          <w:tab w:val="center" w:pos="3969"/>
        </w:tabs>
        <w:rPr>
          <w:rFonts w:ascii="Arial" w:hAnsi="Arial" w:cs="Arial"/>
          <w:sz w:val="22"/>
          <w:szCs w:val="22"/>
        </w:rPr>
      </w:pPr>
      <w:r w:rsidRPr="00750368">
        <w:rPr>
          <w:rFonts w:ascii="Arial" w:hAnsi="Arial" w:cs="Arial"/>
          <w:sz w:val="22"/>
          <w:szCs w:val="22"/>
        </w:rPr>
        <w:t>NIP 19530519 197811 1 001</w:t>
      </w:r>
    </w:p>
    <w:sectPr w:rsidR="00750368" w:rsidRPr="00750368" w:rsidSect="00B820A7">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D7C" w:rsidRDefault="00E82D7C" w:rsidP="00D831C8">
      <w:r>
        <w:separator/>
      </w:r>
    </w:p>
  </w:endnote>
  <w:endnote w:type="continuationSeparator" w:id="0">
    <w:p w:rsidR="00E82D7C" w:rsidRDefault="00E82D7C" w:rsidP="00D83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D7C" w:rsidRDefault="00E82D7C" w:rsidP="00D831C8">
      <w:r>
        <w:separator/>
      </w:r>
    </w:p>
  </w:footnote>
  <w:footnote w:type="continuationSeparator" w:id="0">
    <w:p w:rsidR="00E82D7C" w:rsidRDefault="00E82D7C" w:rsidP="00D83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C8" w:rsidRDefault="00D831C8">
    <w:pPr>
      <w:pStyle w:val="Header"/>
      <w:jc w:val="right"/>
    </w:pPr>
    <w:fldSimple w:instr=" PAGE   \* MERGEFORMAT ">
      <w:r w:rsidR="000A0656">
        <w:rPr>
          <w:noProof/>
        </w:rPr>
        <w:t>18</w:t>
      </w:r>
    </w:fldSimple>
  </w:p>
  <w:p w:rsidR="00D831C8" w:rsidRDefault="00D831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558A"/>
    <w:multiLevelType w:val="hybridMultilevel"/>
    <w:tmpl w:val="BA32BFB8"/>
    <w:lvl w:ilvl="0" w:tplc="1BC6BC5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B6CAF"/>
    <w:multiLevelType w:val="hybridMultilevel"/>
    <w:tmpl w:val="86086D54"/>
    <w:lvl w:ilvl="0" w:tplc="DD9A081A">
      <w:start w:val="2"/>
      <w:numFmt w:val="upperLetter"/>
      <w:lvlText w:val="%1."/>
      <w:lvlJc w:val="left"/>
      <w:pPr>
        <w:ind w:left="720" w:hanging="360"/>
      </w:pPr>
      <w:rPr>
        <w:rFonts w:ascii="Times New Roman" w:hAnsi="Times New Roman" w:cs="Times New Roman" w:hint="default"/>
        <w:b/>
        <w:i w:val="0"/>
        <w:sz w:val="24"/>
      </w:rPr>
    </w:lvl>
    <w:lvl w:ilvl="1" w:tplc="D8AE353E">
      <w:start w:val="1"/>
      <w:numFmt w:val="decimal"/>
      <w:lvlText w:val="3.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A65F0"/>
    <w:multiLevelType w:val="hybridMultilevel"/>
    <w:tmpl w:val="87DCAC84"/>
    <w:lvl w:ilvl="0" w:tplc="6F7C5B00">
      <w:start w:val="1"/>
      <w:numFmt w:val="lowerLetter"/>
      <w:lvlText w:val="%1."/>
      <w:lvlJc w:val="left"/>
      <w:pPr>
        <w:tabs>
          <w:tab w:val="num" w:pos="340"/>
        </w:tabs>
        <w:ind w:left="340" w:hanging="340"/>
      </w:pPr>
      <w:rPr>
        <w:rFonts w:hint="default"/>
      </w:rPr>
    </w:lvl>
    <w:lvl w:ilvl="1" w:tplc="E78450C2">
      <w:start w:val="1"/>
      <w:numFmt w:val="decimal"/>
      <w:lvlText w:val="%2."/>
      <w:lvlJc w:val="left"/>
      <w:pPr>
        <w:tabs>
          <w:tab w:val="num" w:pos="340"/>
        </w:tabs>
        <w:ind w:left="340" w:hanging="340"/>
      </w:pPr>
      <w:rPr>
        <w:rFonts w:hint="default"/>
      </w:rPr>
    </w:lvl>
    <w:lvl w:ilvl="2" w:tplc="8E2CAC80">
      <w:start w:val="1"/>
      <w:numFmt w:val="lowerLetter"/>
      <w:lvlText w:val="%3."/>
      <w:lvlJc w:val="left"/>
      <w:pPr>
        <w:tabs>
          <w:tab w:val="num" w:pos="340"/>
        </w:tabs>
        <w:ind w:left="340" w:hanging="3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841383"/>
    <w:multiLevelType w:val="hybridMultilevel"/>
    <w:tmpl w:val="6FE07052"/>
    <w:lvl w:ilvl="0" w:tplc="564C03DA">
      <w:start w:val="1"/>
      <w:numFmt w:val="decimal"/>
      <w:lvlText w:val="%1."/>
      <w:lvlJc w:val="left"/>
      <w:pPr>
        <w:tabs>
          <w:tab w:val="num" w:pos="360"/>
        </w:tabs>
        <w:ind w:left="340" w:hanging="340"/>
      </w:pPr>
      <w:rPr>
        <w:rFonts w:hint="default"/>
      </w:rPr>
    </w:lvl>
    <w:lvl w:ilvl="1" w:tplc="32648612">
      <w:start w:val="6"/>
      <w:numFmt w:val="upperLetter"/>
      <w:pStyle w:val="Heading9"/>
      <w:lvlText w:val=" %2."/>
      <w:lvlJc w:val="left"/>
      <w:pPr>
        <w:tabs>
          <w:tab w:val="num" w:pos="360"/>
        </w:tabs>
        <w:ind w:left="340" w:hanging="340"/>
      </w:pPr>
      <w:rPr>
        <w:rFonts w:hint="default"/>
      </w:rPr>
    </w:lvl>
    <w:lvl w:ilvl="2" w:tplc="012074C6">
      <w:start w:val="1"/>
      <w:numFmt w:val="decimal"/>
      <w:lvlText w:val="%3."/>
      <w:lvlJc w:val="left"/>
      <w:pPr>
        <w:tabs>
          <w:tab w:val="num" w:pos="360"/>
        </w:tabs>
        <w:ind w:left="340" w:hanging="340"/>
      </w:pPr>
      <w:rPr>
        <w:rFonts w:hint="default"/>
        <w:i w:val="0"/>
      </w:rPr>
    </w:lvl>
    <w:lvl w:ilvl="3" w:tplc="0409000F" w:tentative="1">
      <w:start w:val="1"/>
      <w:numFmt w:val="decimal"/>
      <w:lvlText w:val="%4."/>
      <w:lvlJc w:val="left"/>
      <w:pPr>
        <w:tabs>
          <w:tab w:val="num" w:pos="2880"/>
        </w:tabs>
        <w:ind w:left="2880" w:hanging="360"/>
      </w:pPr>
    </w:lvl>
    <w:lvl w:ilvl="4" w:tplc="DFC071B8">
      <w:start w:val="1"/>
      <w:numFmt w:val="lowerLetter"/>
      <w:lvlText w:val="%5."/>
      <w:lvlJc w:val="left"/>
      <w:pPr>
        <w:tabs>
          <w:tab w:val="num" w:pos="340"/>
        </w:tabs>
        <w:ind w:left="340"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864FC3"/>
    <w:multiLevelType w:val="hybridMultilevel"/>
    <w:tmpl w:val="738AEEF8"/>
    <w:lvl w:ilvl="0" w:tplc="FBA82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14424"/>
    <w:multiLevelType w:val="hybridMultilevel"/>
    <w:tmpl w:val="6ED2EC5E"/>
    <w:lvl w:ilvl="0" w:tplc="30546A68">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FA4EB1"/>
    <w:multiLevelType w:val="hybridMultilevel"/>
    <w:tmpl w:val="3E8A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27E08"/>
    <w:multiLevelType w:val="hybridMultilevel"/>
    <w:tmpl w:val="AED6F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12545"/>
    <w:multiLevelType w:val="hybridMultilevel"/>
    <w:tmpl w:val="FCE6A71A"/>
    <w:lvl w:ilvl="0" w:tplc="1BC6BC5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034AC"/>
    <w:multiLevelType w:val="hybridMultilevel"/>
    <w:tmpl w:val="C4F6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D298E"/>
    <w:multiLevelType w:val="hybridMultilevel"/>
    <w:tmpl w:val="5F222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D718E"/>
    <w:multiLevelType w:val="hybridMultilevel"/>
    <w:tmpl w:val="6CE0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5031E8"/>
    <w:multiLevelType w:val="hybridMultilevel"/>
    <w:tmpl w:val="0E227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65532D"/>
    <w:multiLevelType w:val="hybridMultilevel"/>
    <w:tmpl w:val="734CBDDA"/>
    <w:lvl w:ilvl="0" w:tplc="E5404400">
      <w:start w:val="1"/>
      <w:numFmt w:val="lowerLetter"/>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631103"/>
    <w:multiLevelType w:val="hybridMultilevel"/>
    <w:tmpl w:val="2C147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8A075A"/>
    <w:multiLevelType w:val="hybridMultilevel"/>
    <w:tmpl w:val="FB3CEEB2"/>
    <w:lvl w:ilvl="0" w:tplc="1BC6BC5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25306"/>
    <w:multiLevelType w:val="hybridMultilevel"/>
    <w:tmpl w:val="7D245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8674A"/>
    <w:multiLevelType w:val="hybridMultilevel"/>
    <w:tmpl w:val="80223CE0"/>
    <w:lvl w:ilvl="0" w:tplc="D53E2D66">
      <w:start w:val="1"/>
      <w:numFmt w:val="lowerLetter"/>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4A6CC1"/>
    <w:multiLevelType w:val="hybridMultilevel"/>
    <w:tmpl w:val="E51CE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EA6A59"/>
    <w:multiLevelType w:val="hybridMultilevel"/>
    <w:tmpl w:val="331E6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E52FA"/>
    <w:multiLevelType w:val="hybridMultilevel"/>
    <w:tmpl w:val="F522A8EC"/>
    <w:lvl w:ilvl="0" w:tplc="DD9A081A">
      <w:start w:val="2"/>
      <w:numFmt w:val="upperLetter"/>
      <w:lvlText w:val="%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96469E"/>
    <w:multiLevelType w:val="hybridMultilevel"/>
    <w:tmpl w:val="D9680E2A"/>
    <w:lvl w:ilvl="0" w:tplc="D8688CB6">
      <w:start w:val="1"/>
      <w:numFmt w:val="decimal"/>
      <w:lvlText w:val="%1."/>
      <w:lvlJc w:val="left"/>
      <w:pPr>
        <w:tabs>
          <w:tab w:val="num" w:pos="360"/>
        </w:tabs>
        <w:ind w:left="340" w:hanging="34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A92375"/>
    <w:multiLevelType w:val="hybridMultilevel"/>
    <w:tmpl w:val="D5FA5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B57115"/>
    <w:multiLevelType w:val="hybridMultilevel"/>
    <w:tmpl w:val="7166E678"/>
    <w:lvl w:ilvl="0" w:tplc="DD9A081A">
      <w:start w:val="2"/>
      <w:numFmt w:val="upperLetter"/>
      <w:lvlText w:val="%1."/>
      <w:lvlJc w:val="left"/>
      <w:pPr>
        <w:ind w:left="720" w:hanging="360"/>
      </w:pPr>
      <w:rPr>
        <w:rFonts w:ascii="Times New Roman" w:hAnsi="Times New Roman" w:cs="Times New Roman" w:hint="default"/>
        <w:b/>
        <w:i w:val="0"/>
        <w:sz w:val="24"/>
      </w:rPr>
    </w:lvl>
    <w:lvl w:ilvl="1" w:tplc="C5087F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5B177F"/>
    <w:multiLevelType w:val="hybridMultilevel"/>
    <w:tmpl w:val="3D1A6C0A"/>
    <w:lvl w:ilvl="0" w:tplc="250A3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19"/>
  </w:num>
  <w:num w:numId="4">
    <w:abstractNumId w:val="7"/>
  </w:num>
  <w:num w:numId="5">
    <w:abstractNumId w:val="2"/>
  </w:num>
  <w:num w:numId="6">
    <w:abstractNumId w:val="3"/>
  </w:num>
  <w:num w:numId="7">
    <w:abstractNumId w:val="17"/>
  </w:num>
  <w:num w:numId="8">
    <w:abstractNumId w:val="13"/>
  </w:num>
  <w:num w:numId="9">
    <w:abstractNumId w:val="11"/>
  </w:num>
  <w:num w:numId="10">
    <w:abstractNumId w:val="23"/>
  </w:num>
  <w:num w:numId="11">
    <w:abstractNumId w:val="1"/>
  </w:num>
  <w:num w:numId="12">
    <w:abstractNumId w:val="18"/>
  </w:num>
  <w:num w:numId="13">
    <w:abstractNumId w:val="14"/>
  </w:num>
  <w:num w:numId="14">
    <w:abstractNumId w:val="10"/>
  </w:num>
  <w:num w:numId="15">
    <w:abstractNumId w:val="20"/>
  </w:num>
  <w:num w:numId="16">
    <w:abstractNumId w:val="4"/>
  </w:num>
  <w:num w:numId="17">
    <w:abstractNumId w:val="22"/>
  </w:num>
  <w:num w:numId="18">
    <w:abstractNumId w:val="5"/>
  </w:num>
  <w:num w:numId="19">
    <w:abstractNumId w:val="24"/>
  </w:num>
  <w:num w:numId="20">
    <w:abstractNumId w:val="0"/>
  </w:num>
  <w:num w:numId="21">
    <w:abstractNumId w:val="16"/>
  </w:num>
  <w:num w:numId="22">
    <w:abstractNumId w:val="15"/>
  </w:num>
  <w:num w:numId="23">
    <w:abstractNumId w:val="8"/>
  </w:num>
  <w:num w:numId="24">
    <w:abstractNumId w:val="9"/>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E4A47"/>
    <w:rsid w:val="00040832"/>
    <w:rsid w:val="000A0656"/>
    <w:rsid w:val="000A146C"/>
    <w:rsid w:val="000A5F68"/>
    <w:rsid w:val="000F3E5B"/>
    <w:rsid w:val="001200B2"/>
    <w:rsid w:val="001725A6"/>
    <w:rsid w:val="001C6783"/>
    <w:rsid w:val="001E3862"/>
    <w:rsid w:val="001F394A"/>
    <w:rsid w:val="001F750D"/>
    <w:rsid w:val="00213989"/>
    <w:rsid w:val="00214267"/>
    <w:rsid w:val="00214FAA"/>
    <w:rsid w:val="00260C13"/>
    <w:rsid w:val="00264957"/>
    <w:rsid w:val="00292779"/>
    <w:rsid w:val="00296251"/>
    <w:rsid w:val="00302304"/>
    <w:rsid w:val="00314D0F"/>
    <w:rsid w:val="00330C31"/>
    <w:rsid w:val="003337C2"/>
    <w:rsid w:val="003B1428"/>
    <w:rsid w:val="003D42A2"/>
    <w:rsid w:val="00403471"/>
    <w:rsid w:val="004453A9"/>
    <w:rsid w:val="00484B70"/>
    <w:rsid w:val="00523D08"/>
    <w:rsid w:val="00581779"/>
    <w:rsid w:val="005B3DBA"/>
    <w:rsid w:val="005E4A47"/>
    <w:rsid w:val="005F1291"/>
    <w:rsid w:val="005F75A7"/>
    <w:rsid w:val="0065569E"/>
    <w:rsid w:val="006970F5"/>
    <w:rsid w:val="006C15DC"/>
    <w:rsid w:val="006C6E42"/>
    <w:rsid w:val="00703730"/>
    <w:rsid w:val="00721E49"/>
    <w:rsid w:val="00750368"/>
    <w:rsid w:val="007864A6"/>
    <w:rsid w:val="007B3484"/>
    <w:rsid w:val="007F61DE"/>
    <w:rsid w:val="00853A49"/>
    <w:rsid w:val="008959E7"/>
    <w:rsid w:val="008F34F4"/>
    <w:rsid w:val="00923D5F"/>
    <w:rsid w:val="009432F1"/>
    <w:rsid w:val="00995A3F"/>
    <w:rsid w:val="009A54A7"/>
    <w:rsid w:val="00A072FF"/>
    <w:rsid w:val="00A123AB"/>
    <w:rsid w:val="00A44DB9"/>
    <w:rsid w:val="00A65039"/>
    <w:rsid w:val="00B109DE"/>
    <w:rsid w:val="00B11BEF"/>
    <w:rsid w:val="00B40888"/>
    <w:rsid w:val="00B820A7"/>
    <w:rsid w:val="00BD5F5A"/>
    <w:rsid w:val="00BF30F0"/>
    <w:rsid w:val="00C84023"/>
    <w:rsid w:val="00C95ED4"/>
    <w:rsid w:val="00CB6748"/>
    <w:rsid w:val="00CE566B"/>
    <w:rsid w:val="00D36A74"/>
    <w:rsid w:val="00D47C41"/>
    <w:rsid w:val="00D80EE0"/>
    <w:rsid w:val="00D831C8"/>
    <w:rsid w:val="00D91E87"/>
    <w:rsid w:val="00E0564A"/>
    <w:rsid w:val="00E30142"/>
    <w:rsid w:val="00E52507"/>
    <w:rsid w:val="00E82D7C"/>
    <w:rsid w:val="00E87EF1"/>
    <w:rsid w:val="00E92D44"/>
    <w:rsid w:val="00EA1EAF"/>
    <w:rsid w:val="00EB37EB"/>
    <w:rsid w:val="00ED2A08"/>
    <w:rsid w:val="00F23B94"/>
    <w:rsid w:val="00FE0E3C"/>
    <w:rsid w:val="00FF1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AF"/>
    <w:pPr>
      <w:jc w:val="center"/>
    </w:pPr>
    <w:rPr>
      <w:sz w:val="24"/>
      <w:szCs w:val="24"/>
    </w:rPr>
  </w:style>
  <w:style w:type="paragraph" w:styleId="Heading8">
    <w:name w:val="heading 8"/>
    <w:basedOn w:val="Normal"/>
    <w:next w:val="Normal"/>
    <w:link w:val="Heading8Char"/>
    <w:uiPriority w:val="9"/>
    <w:semiHidden/>
    <w:unhideWhenUsed/>
    <w:qFormat/>
    <w:rsid w:val="0065569E"/>
    <w:pPr>
      <w:spacing w:before="240" w:after="60"/>
      <w:outlineLvl w:val="7"/>
    </w:pPr>
    <w:rPr>
      <w:rFonts w:ascii="Calibri" w:eastAsia="Times New Roman" w:hAnsi="Calibri"/>
      <w:i/>
      <w:iCs/>
    </w:rPr>
  </w:style>
  <w:style w:type="paragraph" w:styleId="Heading9">
    <w:name w:val="heading 9"/>
    <w:basedOn w:val="Normal"/>
    <w:next w:val="Normal"/>
    <w:link w:val="Heading9Char"/>
    <w:qFormat/>
    <w:rsid w:val="003B1428"/>
    <w:pPr>
      <w:keepNext/>
      <w:numPr>
        <w:ilvl w:val="1"/>
        <w:numId w:val="6"/>
      </w:numPr>
      <w:jc w:val="left"/>
      <w:outlineLvl w:val="8"/>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DB9"/>
    <w:pPr>
      <w:ind w:left="720"/>
      <w:contextualSpacing/>
    </w:pPr>
  </w:style>
  <w:style w:type="table" w:styleId="TableGrid">
    <w:name w:val="Table Grid"/>
    <w:basedOn w:val="TableNormal"/>
    <w:rsid w:val="00E30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rsid w:val="003B1428"/>
    <w:rPr>
      <w:rFonts w:eastAsia="Times New Roman"/>
      <w:b/>
      <w:bCs/>
    </w:rPr>
  </w:style>
  <w:style w:type="paragraph" w:styleId="FootnoteText">
    <w:name w:val="footnote text"/>
    <w:basedOn w:val="Normal"/>
    <w:link w:val="FootnoteTextChar"/>
    <w:semiHidden/>
    <w:rsid w:val="003B1428"/>
    <w:pPr>
      <w:jc w:val="left"/>
    </w:pPr>
    <w:rPr>
      <w:rFonts w:eastAsia="Times New Roman"/>
      <w:sz w:val="20"/>
      <w:szCs w:val="20"/>
    </w:rPr>
  </w:style>
  <w:style w:type="character" w:customStyle="1" w:styleId="FootnoteTextChar">
    <w:name w:val="Footnote Text Char"/>
    <w:basedOn w:val="DefaultParagraphFont"/>
    <w:link w:val="FootnoteText"/>
    <w:semiHidden/>
    <w:rsid w:val="003B1428"/>
    <w:rPr>
      <w:rFonts w:eastAsia="Times New Roman"/>
      <w:sz w:val="20"/>
      <w:szCs w:val="20"/>
    </w:rPr>
  </w:style>
  <w:style w:type="paragraph" w:styleId="BodyTextIndent2">
    <w:name w:val="Body Text Indent 2"/>
    <w:basedOn w:val="Normal"/>
    <w:link w:val="BodyTextIndent2Char"/>
    <w:rsid w:val="001E3862"/>
    <w:pPr>
      <w:ind w:left="360" w:hanging="360"/>
      <w:jc w:val="both"/>
    </w:pPr>
    <w:rPr>
      <w:rFonts w:eastAsia="Times New Roman"/>
    </w:rPr>
  </w:style>
  <w:style w:type="character" w:customStyle="1" w:styleId="BodyTextIndent2Char">
    <w:name w:val="Body Text Indent 2 Char"/>
    <w:basedOn w:val="DefaultParagraphFont"/>
    <w:link w:val="BodyTextIndent2"/>
    <w:rsid w:val="001E3862"/>
    <w:rPr>
      <w:rFonts w:eastAsia="Times New Roman"/>
      <w:sz w:val="24"/>
      <w:szCs w:val="24"/>
    </w:rPr>
  </w:style>
  <w:style w:type="paragraph" w:styleId="BodyTextIndent">
    <w:name w:val="Body Text Indent"/>
    <w:basedOn w:val="Normal"/>
    <w:link w:val="BodyTextIndentChar"/>
    <w:uiPriority w:val="99"/>
    <w:unhideWhenUsed/>
    <w:rsid w:val="001E3862"/>
    <w:pPr>
      <w:spacing w:after="120" w:line="276" w:lineRule="auto"/>
      <w:ind w:left="360"/>
      <w:jc w:val="left"/>
    </w:pPr>
    <w:rPr>
      <w:rFonts w:ascii="Calibri" w:hAnsi="Calibri"/>
      <w:sz w:val="22"/>
      <w:szCs w:val="22"/>
    </w:rPr>
  </w:style>
  <w:style w:type="character" w:customStyle="1" w:styleId="BodyTextIndentChar">
    <w:name w:val="Body Text Indent Char"/>
    <w:basedOn w:val="DefaultParagraphFont"/>
    <w:link w:val="BodyTextIndent"/>
    <w:uiPriority w:val="99"/>
    <w:rsid w:val="001E3862"/>
    <w:rPr>
      <w:rFonts w:ascii="Calibri" w:eastAsia="Calibri" w:hAnsi="Calibri" w:cs="Times New Roman"/>
      <w:sz w:val="22"/>
      <w:szCs w:val="22"/>
    </w:rPr>
  </w:style>
  <w:style w:type="paragraph" w:styleId="Header">
    <w:name w:val="header"/>
    <w:basedOn w:val="Normal"/>
    <w:link w:val="HeaderChar"/>
    <w:uiPriority w:val="99"/>
    <w:unhideWhenUsed/>
    <w:rsid w:val="00D831C8"/>
    <w:pPr>
      <w:tabs>
        <w:tab w:val="center" w:pos="4680"/>
        <w:tab w:val="right" w:pos="9360"/>
      </w:tabs>
    </w:pPr>
  </w:style>
  <w:style w:type="character" w:customStyle="1" w:styleId="HeaderChar">
    <w:name w:val="Header Char"/>
    <w:basedOn w:val="DefaultParagraphFont"/>
    <w:link w:val="Header"/>
    <w:uiPriority w:val="99"/>
    <w:rsid w:val="00D831C8"/>
    <w:rPr>
      <w:sz w:val="24"/>
      <w:szCs w:val="24"/>
    </w:rPr>
  </w:style>
  <w:style w:type="paragraph" w:styleId="Footer">
    <w:name w:val="footer"/>
    <w:basedOn w:val="Normal"/>
    <w:link w:val="FooterChar"/>
    <w:uiPriority w:val="99"/>
    <w:semiHidden/>
    <w:unhideWhenUsed/>
    <w:rsid w:val="00D831C8"/>
    <w:pPr>
      <w:tabs>
        <w:tab w:val="center" w:pos="4680"/>
        <w:tab w:val="right" w:pos="9360"/>
      </w:tabs>
    </w:pPr>
  </w:style>
  <w:style w:type="character" w:customStyle="1" w:styleId="FooterChar">
    <w:name w:val="Footer Char"/>
    <w:basedOn w:val="DefaultParagraphFont"/>
    <w:link w:val="Footer"/>
    <w:uiPriority w:val="99"/>
    <w:semiHidden/>
    <w:rsid w:val="00D831C8"/>
    <w:rPr>
      <w:sz w:val="24"/>
      <w:szCs w:val="24"/>
    </w:rPr>
  </w:style>
  <w:style w:type="character" w:customStyle="1" w:styleId="Heading8Char">
    <w:name w:val="Heading 8 Char"/>
    <w:basedOn w:val="DefaultParagraphFont"/>
    <w:link w:val="Heading8"/>
    <w:uiPriority w:val="9"/>
    <w:semiHidden/>
    <w:rsid w:val="0065569E"/>
    <w:rPr>
      <w:rFonts w:ascii="Calibri" w:eastAsia="Times New Roman" w:hAnsi="Calibri" w:cs="Times New Roman"/>
      <w:i/>
      <w:iCs/>
      <w:sz w:val="24"/>
      <w:szCs w:val="24"/>
    </w:rPr>
  </w:style>
  <w:style w:type="paragraph" w:styleId="Title">
    <w:name w:val="Title"/>
    <w:basedOn w:val="Normal"/>
    <w:link w:val="TitleChar"/>
    <w:qFormat/>
    <w:rsid w:val="0065569E"/>
    <w:rPr>
      <w:rFonts w:eastAsia="Times New Roman"/>
      <w:b/>
      <w:bCs/>
    </w:rPr>
  </w:style>
  <w:style w:type="character" w:customStyle="1" w:styleId="TitleChar">
    <w:name w:val="Title Char"/>
    <w:basedOn w:val="DefaultParagraphFont"/>
    <w:link w:val="Title"/>
    <w:rsid w:val="0065569E"/>
    <w:rPr>
      <w:rFonts w:eastAsia="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5043</Words>
  <Characters>28749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2011-11-14T00:24:00Z</cp:lastPrinted>
  <dcterms:created xsi:type="dcterms:W3CDTF">2011-12-05T03:00:00Z</dcterms:created>
  <dcterms:modified xsi:type="dcterms:W3CDTF">2011-12-05T03:00:00Z</dcterms:modified>
</cp:coreProperties>
</file>