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1D" w:rsidRDefault="00B12E1D" w:rsidP="00B12E1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ABSTRAK</w:t>
      </w:r>
    </w:p>
    <w:p w:rsidR="00B12E1D" w:rsidRDefault="00B12E1D" w:rsidP="00B12E1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4"/>
          <w:szCs w:val="24"/>
        </w:rPr>
      </w:pPr>
    </w:p>
    <w:p w:rsidR="00B12E1D" w:rsidRDefault="00B12E1D" w:rsidP="00B12E1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TINGKAT KESEJAHTERAAN PENAMBANG MINYAK TRADISIONAL</w:t>
      </w:r>
    </w:p>
    <w:p w:rsidR="00B12E1D" w:rsidRDefault="00B12E1D" w:rsidP="00B12E1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DI DESA WONOCOLO KECAMATAN KEDEWAN KABUPATEN</w:t>
      </w:r>
    </w:p>
    <w:p w:rsidR="00B12E1D" w:rsidRDefault="00B12E1D" w:rsidP="00B12E1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BOJONEGORO JAWA TIMUR</w:t>
      </w:r>
    </w:p>
    <w:p w:rsidR="00B12E1D" w:rsidRDefault="00B12E1D" w:rsidP="00B12E1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000000"/>
          <w:sz w:val="24"/>
          <w:szCs w:val="24"/>
        </w:rPr>
      </w:pPr>
    </w:p>
    <w:p w:rsidR="00B12E1D" w:rsidRDefault="00B12E1D" w:rsidP="00B12E1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000000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Oleh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: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Tri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Maryono</w:t>
      </w:r>
      <w:proofErr w:type="spellEnd"/>
    </w:p>
    <w:p w:rsidR="00B12E1D" w:rsidRDefault="00B12E1D" w:rsidP="00B12E1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000000"/>
          <w:sz w:val="24"/>
          <w:szCs w:val="24"/>
        </w:rPr>
      </w:pP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NIM :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06405241034</w:t>
      </w:r>
    </w:p>
    <w:p w:rsidR="00B12E1D" w:rsidRDefault="00B12E1D" w:rsidP="00B12E1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000000"/>
          <w:sz w:val="24"/>
          <w:szCs w:val="24"/>
        </w:rPr>
      </w:pPr>
    </w:p>
    <w:p w:rsidR="00B12E1D" w:rsidRDefault="00B12E1D" w:rsidP="00B12E1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4"/>
          <w:szCs w:val="24"/>
        </w:rPr>
      </w:pP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Penelitian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ini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bertujuan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untuk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mengetahui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; 1)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karakteristik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kegiatan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penambangan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minyak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tradisional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; 3)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sumbangan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pendapatan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non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pertambangan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terhadap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total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pendapatan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rumah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tangga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; 3)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tingkat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kesejahteraan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rumah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tangga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penambang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minyak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tradisional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Penelitian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ini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merupakan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penelitian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deskriptif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kuantitatif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>.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Populasi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dalampenelitian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ini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adalah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kepala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rumah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tangga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penambang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Desa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Wonocolo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berjumlah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403 yang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diambil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81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sebagai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sampel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dengan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teknik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Italic" w:hAnsi="Times-Italic" w:cs="Times-Italic"/>
          <w:i/>
          <w:iCs/>
          <w:color w:val="000000"/>
          <w:sz w:val="24"/>
          <w:szCs w:val="24"/>
        </w:rPr>
        <w:t>proportional area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Italic" w:hAnsi="Times-Italic" w:cs="Times-Italic"/>
          <w:i/>
          <w:iCs/>
          <w:color w:val="000000"/>
          <w:sz w:val="24"/>
          <w:szCs w:val="24"/>
        </w:rPr>
        <w:t xml:space="preserve">sampling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Italic" w:hAnsi="Times-Italic" w:cs="Times-Italic"/>
          <w:i/>
          <w:iCs/>
          <w:color w:val="000000"/>
          <w:sz w:val="24"/>
          <w:szCs w:val="24"/>
        </w:rPr>
        <w:t>simple random sampling</w:t>
      </w:r>
      <w:r>
        <w:rPr>
          <w:rFonts w:ascii="Times-Roman" w:hAnsi="Times-Roman" w:cs="Times-Roman"/>
          <w:color w:val="000000"/>
          <w:sz w:val="24"/>
          <w:szCs w:val="24"/>
        </w:rPr>
        <w:t>.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Analisis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data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menggunakan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analisis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kuantitatif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tabel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frekuensi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tunggal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tabel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silang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>.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Sumbangan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pendapatan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non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pertambangan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terhadap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total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pendapatan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rumah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tangga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dihitung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dengan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analisis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regresi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.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 xml:space="preserve">Tingkat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kesejahteraan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penambang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diukur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dengan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indikator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tahapan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kesejahteran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BKKBN.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Hasil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penelitian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menunjukkan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bahwa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; 1)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eksplorasi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sumur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minyak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sebesar</w:t>
      </w:r>
      <w:proofErr w:type="spellEnd"/>
    </w:p>
    <w:p w:rsidR="009618D4" w:rsidRPr="00B12E1D" w:rsidRDefault="00B12E1D" w:rsidP="00B12E1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78,6%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dengan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cara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mencari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sendiri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jumlah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jam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kerja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kelompok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tambang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paling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banyak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&gt;16 jam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sehari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yaitu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sebesar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50%,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kendala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yang paling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banyak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dihadapi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penambang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proses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eksploitasi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yaitu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seling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aus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timbo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rusak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masing-masing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sebesar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35,7%,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bahan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bakar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hasil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olahan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secara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tradisional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berupa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solar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tradisional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sebesar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78,6%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minyak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tanah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tradisional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sebesar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21,4%,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alat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transportasi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digunakan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untuk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pengangkutan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adalah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sepeda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motor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dijual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melalui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distributor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dengan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persentase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terbesar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ke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daerah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Rembang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yaitu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sebesar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35,7%; 2)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Besar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sumbangan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pendapatan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non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pertambangan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terhadap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total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pendapatan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rumah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tangga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sebesar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52,3%; 3)</w:t>
      </w:r>
      <w:r>
        <w:rPr>
          <w:rFonts w:ascii="Times-Roman" w:hAnsi="Times-Roman" w:cs="Times-Roman"/>
          <w:color w:val="FFFFFF"/>
          <w:sz w:val="24"/>
          <w:szCs w:val="24"/>
        </w:rPr>
        <w:t>.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Tingkat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kesejahteraan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rumah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tangga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penambang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termasuk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kategori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rendah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hal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ini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ditunjukkan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bahwa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sebanyak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60,5%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termasuk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rumah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tangga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Sejahtera I,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sebanyak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23,5%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termasuk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rumah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tangga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Pra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Sejahtera, 14,8%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termasuk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rumah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tangga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Sejahtera II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sebanyak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1,2%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termasuk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dalam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rumah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tangga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Sejahtera III.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Kata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kunci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: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kesejahteraan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penambang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minyak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tradisional</w:t>
      </w:r>
      <w:proofErr w:type="spellEnd"/>
    </w:p>
    <w:sectPr w:rsidR="009618D4" w:rsidRPr="00B12E1D" w:rsidSect="00D00A39">
      <w:pgSz w:w="11907" w:h="16840" w:code="9"/>
      <w:pgMar w:top="2268" w:right="1701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12E1D"/>
    <w:rsid w:val="009618D4"/>
    <w:rsid w:val="00B12E1D"/>
    <w:rsid w:val="00D00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winexpi</dc:creator>
  <cp:keywords/>
  <dc:description/>
  <cp:lastModifiedBy>winexpi</cp:lastModifiedBy>
  <cp:revision>1</cp:revision>
  <dcterms:created xsi:type="dcterms:W3CDTF">2011-03-07T03:16:00Z</dcterms:created>
  <dcterms:modified xsi:type="dcterms:W3CDTF">2011-03-07T03:18:00Z</dcterms:modified>
</cp:coreProperties>
</file>