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F0" w:rsidRDefault="00B706F0" w:rsidP="00B706F0">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Materi Untuk Tambahan Sumber Diskusi Siswa</w:t>
      </w:r>
    </w:p>
    <w:p w:rsidR="00B706F0" w:rsidRDefault="00B706F0" w:rsidP="00B706F0">
      <w:pPr>
        <w:autoSpaceDE w:val="0"/>
        <w:autoSpaceDN w:val="0"/>
        <w:adjustRightInd w:val="0"/>
        <w:spacing w:after="0"/>
        <w:rPr>
          <w:rFonts w:ascii="Times New Roman" w:hAnsi="Times New Roman" w:cs="Times New Roman"/>
          <w:b/>
          <w:sz w:val="28"/>
          <w:szCs w:val="28"/>
        </w:rPr>
      </w:pPr>
    </w:p>
    <w:p w:rsidR="00DA68A2" w:rsidRPr="00DA68A2" w:rsidRDefault="00DA68A2" w:rsidP="00DA68A2">
      <w:pPr>
        <w:pStyle w:val="ListParagraph"/>
        <w:numPr>
          <w:ilvl w:val="0"/>
          <w:numId w:val="1"/>
        </w:numPr>
        <w:autoSpaceDE w:val="0"/>
        <w:autoSpaceDN w:val="0"/>
        <w:adjustRightInd w:val="0"/>
        <w:spacing w:after="0"/>
        <w:jc w:val="center"/>
        <w:rPr>
          <w:rFonts w:ascii="Times New Roman" w:hAnsi="Times New Roman" w:cs="Times New Roman"/>
          <w:b/>
          <w:sz w:val="28"/>
          <w:szCs w:val="28"/>
        </w:rPr>
      </w:pPr>
      <w:r w:rsidRPr="00DA68A2">
        <w:rPr>
          <w:rFonts w:ascii="Times New Roman" w:hAnsi="Times New Roman" w:cs="Times New Roman"/>
          <w:b/>
          <w:sz w:val="28"/>
          <w:szCs w:val="28"/>
        </w:rPr>
        <w:t>Kekuasaan Bangsa Portugis dan Spanyol di Indonesia</w:t>
      </w:r>
    </w:p>
    <w:p w:rsidR="00DA68A2" w:rsidRPr="00DA68A2" w:rsidRDefault="00DA68A2" w:rsidP="00DA68A2">
      <w:pPr>
        <w:pStyle w:val="ListParagraph"/>
        <w:autoSpaceDE w:val="0"/>
        <w:autoSpaceDN w:val="0"/>
        <w:adjustRightInd w:val="0"/>
        <w:spacing w:after="0"/>
        <w:ind w:left="644"/>
        <w:rPr>
          <w:rFonts w:ascii="Times New Roman" w:hAnsi="Times New Roman" w:cs="Times New Roman"/>
          <w:b/>
          <w:sz w:val="24"/>
          <w:szCs w:val="24"/>
        </w:rPr>
      </w:pPr>
    </w:p>
    <w:p w:rsidR="00DA68A2" w:rsidRPr="009A1EFF"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r w:rsidRPr="009A1EFF">
        <w:rPr>
          <w:rFonts w:ascii="Times New Roman" w:hAnsi="Times New Roman" w:cs="Times New Roman"/>
          <w:sz w:val="24"/>
          <w:szCs w:val="24"/>
        </w:rPr>
        <w:t>Pada tahun 1511, bangsa Portugis berhasil merebut dan menduduki Malaka. Kemudian pada tahun 1512 Portugis datang di Maluku. Tanpa diduga pada tahun 1521 Spanyol muncul dari arah Filipina dengan kapal Trinidad dan Victoria yang dipimpin oleh Kapten Sebastian del Cano. Selanjutnya, Spanyol menjalin hubungan dengan Tidore, saingan berat Ternate. Portugis merasa tidak senang ada saingan dari Spanyol di Tidore. Persaingan antara Portugis dan Spanyol kembali terjadi, namun pada tahun 1529 berhasil diselesaikan melalui Perjanjian Saragosa. Isi Perjanjian Saragosa yaitu Spanyol kembali ke Filipina sedangkan Portugis tetap di Maluku. Saat Portugis bersitegang dengan Spanyol, hubungan Ternate dan Tidore semakin memanas. Ternate meminta jaminan dukungan terhadap Portugis untuk menghadapi Tidore. Portugis dengan senang hati menyanggupi, dengan syarat mendapatkan hak monopoli perdagangan rempah-rempah di Ternate. Akibatnya rakyat Ternate sangat dirugikan, mereka tidak lagi leluasa menjual rempah-rempah. Harga cengkih dan pala ditetapkan oleh Portugis dengan sangat rendah.</w:t>
      </w: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r w:rsidRPr="009A1EFF">
        <w:rPr>
          <w:rFonts w:ascii="Times New Roman" w:hAnsi="Times New Roman" w:cs="Times New Roman"/>
          <w:sz w:val="24"/>
          <w:szCs w:val="24"/>
        </w:rPr>
        <w:t>Di Maluku, selain monopoli perdagangan Portugis juga bertindak sewenang-wenang dan kejam terhadap rakyat. Bahkan cenderung untuk menguasai wilayah. Keadaan ini mengakibatkan hubungan yang semula terjalin dengan baik berubah menjadi hubungan permusuhan. Puncak pertentangan terjadi setelah Portugis dengan licik membunuh Sultan Hairun, Raja Ternate.</w:t>
      </w: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left="567" w:firstLine="567"/>
        <w:jc w:val="both"/>
        <w:rPr>
          <w:rFonts w:ascii="Times New Roman" w:hAnsi="Times New Roman" w:cs="Times New Roman"/>
          <w:sz w:val="24"/>
          <w:szCs w:val="24"/>
        </w:rPr>
      </w:pPr>
    </w:p>
    <w:p w:rsidR="00DA68A2" w:rsidRDefault="00DA68A2" w:rsidP="00B706F0">
      <w:pPr>
        <w:autoSpaceDE w:val="0"/>
        <w:autoSpaceDN w:val="0"/>
        <w:adjustRightInd w:val="0"/>
        <w:spacing w:after="0" w:line="360" w:lineRule="auto"/>
        <w:jc w:val="both"/>
        <w:rPr>
          <w:rFonts w:ascii="Times New Roman" w:hAnsi="Times New Roman" w:cs="Times New Roman"/>
          <w:sz w:val="24"/>
          <w:szCs w:val="24"/>
        </w:rPr>
      </w:pPr>
    </w:p>
    <w:p w:rsidR="00863A86" w:rsidRDefault="00863A86" w:rsidP="00B706F0">
      <w:pPr>
        <w:autoSpaceDE w:val="0"/>
        <w:autoSpaceDN w:val="0"/>
        <w:adjustRightInd w:val="0"/>
        <w:spacing w:after="0" w:line="360" w:lineRule="auto"/>
        <w:jc w:val="both"/>
        <w:rPr>
          <w:rFonts w:ascii="Times New Roman" w:hAnsi="Times New Roman" w:cs="Times New Roman"/>
          <w:sz w:val="24"/>
          <w:szCs w:val="24"/>
        </w:rPr>
      </w:pPr>
    </w:p>
    <w:p w:rsidR="00863A86" w:rsidRDefault="00863A86" w:rsidP="00B706F0">
      <w:pPr>
        <w:autoSpaceDE w:val="0"/>
        <w:autoSpaceDN w:val="0"/>
        <w:adjustRightInd w:val="0"/>
        <w:spacing w:after="0" w:line="360" w:lineRule="auto"/>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center"/>
        <w:rPr>
          <w:rFonts w:ascii="Times New Roman" w:hAnsi="Times New Roman" w:cs="Times New Roman"/>
          <w:b/>
          <w:sz w:val="28"/>
          <w:szCs w:val="28"/>
        </w:rPr>
      </w:pPr>
      <w:r w:rsidRPr="00DA68A2">
        <w:rPr>
          <w:rFonts w:ascii="Times New Roman" w:hAnsi="Times New Roman" w:cs="Times New Roman"/>
          <w:b/>
          <w:sz w:val="28"/>
          <w:szCs w:val="28"/>
        </w:rPr>
        <w:lastRenderedPageBreak/>
        <w:t>b . Kekuasaan VOC di Indonesia</w:t>
      </w:r>
    </w:p>
    <w:p w:rsidR="00DA68A2" w:rsidRPr="00DA68A2" w:rsidRDefault="00DA68A2" w:rsidP="00DA68A2">
      <w:pPr>
        <w:autoSpaceDE w:val="0"/>
        <w:autoSpaceDN w:val="0"/>
        <w:adjustRightInd w:val="0"/>
        <w:spacing w:after="0"/>
        <w:ind w:left="567" w:hanging="283"/>
        <w:jc w:val="center"/>
        <w:rPr>
          <w:rFonts w:ascii="Times New Roman" w:hAnsi="Times New Roman" w:cs="Times New Roman"/>
          <w:b/>
          <w:sz w:val="28"/>
          <w:szCs w:val="28"/>
        </w:rPr>
      </w:pPr>
    </w:p>
    <w:p w:rsidR="00DA68A2" w:rsidRPr="009A1EFF" w:rsidRDefault="00DA68A2" w:rsidP="00DA68A2">
      <w:pPr>
        <w:autoSpaceDE w:val="0"/>
        <w:autoSpaceDN w:val="0"/>
        <w:adjustRightInd w:val="0"/>
        <w:spacing w:after="0"/>
        <w:ind w:firstLine="567"/>
        <w:jc w:val="both"/>
        <w:rPr>
          <w:rFonts w:ascii="Times New Roman" w:hAnsi="Times New Roman" w:cs="Times New Roman"/>
          <w:sz w:val="24"/>
          <w:szCs w:val="24"/>
        </w:rPr>
      </w:pPr>
      <w:r w:rsidRPr="009A1EFF">
        <w:rPr>
          <w:rFonts w:ascii="Times New Roman" w:hAnsi="Times New Roman" w:cs="Times New Roman"/>
          <w:sz w:val="24"/>
          <w:szCs w:val="24"/>
        </w:rPr>
        <w:t xml:space="preserve">Pada tahun 1596 Cornelis de Houtman tiba di Banten untuk tujuan perdagangan. Karena sikap Belanda yang sombong, maka mereka diusir dari Banten. Pada tahun 1598, penjelajahan Belanda di bawah pimpinan Jacob van Neck tiba di Banten. Mereka diterima dengan baik oleh penguasa Banten, juga pendaratan di sepanjang pantai Utara Jawa dan Maluku. Sejak ini, hubungan dagang dengan para pedagang Belanda semakin ramai. Dalam perkembangannya, antarpedagang Belanda terjadi persaingan yang kian memanas. Untuk mengatasi persaingan yang rawan ini dibentuklah suatu kongsi dagang berupa persekutuan dagang India Timur atas prakarsa Johan van Oldenbarnevelt. Kongsi dagang ini dibentuk tanggal 20 Maret 1602 dengan nama </w:t>
      </w:r>
      <w:r w:rsidRPr="009A1EFF">
        <w:rPr>
          <w:rFonts w:ascii="Times New Roman" w:hAnsi="Times New Roman" w:cs="Times New Roman"/>
          <w:i/>
          <w:iCs/>
          <w:sz w:val="24"/>
          <w:szCs w:val="24"/>
        </w:rPr>
        <w:t xml:space="preserve">Vereenigde Oost Indische Compagnie </w:t>
      </w:r>
      <w:r w:rsidRPr="009A1EFF">
        <w:rPr>
          <w:rFonts w:ascii="Times New Roman" w:hAnsi="Times New Roman" w:cs="Times New Roman"/>
          <w:sz w:val="24"/>
          <w:szCs w:val="24"/>
        </w:rPr>
        <w:t>(VOC).</w:t>
      </w:r>
    </w:p>
    <w:p w:rsidR="00DA68A2" w:rsidRPr="009A1EFF" w:rsidRDefault="00DA68A2" w:rsidP="00DA68A2">
      <w:pPr>
        <w:autoSpaceDE w:val="0"/>
        <w:autoSpaceDN w:val="0"/>
        <w:adjustRightInd w:val="0"/>
        <w:spacing w:after="0"/>
        <w:ind w:firstLine="567"/>
        <w:jc w:val="both"/>
        <w:rPr>
          <w:rFonts w:ascii="Times New Roman" w:hAnsi="Times New Roman" w:cs="Times New Roman"/>
          <w:sz w:val="24"/>
          <w:szCs w:val="24"/>
        </w:rPr>
      </w:pPr>
      <w:r w:rsidRPr="009A1EFF">
        <w:rPr>
          <w:rFonts w:ascii="Times New Roman" w:hAnsi="Times New Roman" w:cs="Times New Roman"/>
          <w:sz w:val="24"/>
          <w:szCs w:val="24"/>
        </w:rPr>
        <w:t>Tujuan pembentukan VOC sebenarnya tidak hanya untuk menghindari persaingan di antara pedagang Belanda, tetapi juga:</w:t>
      </w:r>
    </w:p>
    <w:p w:rsidR="00DA68A2" w:rsidRPr="009A1EFF" w:rsidRDefault="00DA68A2" w:rsidP="00DA68A2">
      <w:pPr>
        <w:autoSpaceDE w:val="0"/>
        <w:autoSpaceDN w:val="0"/>
        <w:adjustRightInd w:val="0"/>
        <w:spacing w:after="0"/>
        <w:ind w:hanging="284"/>
        <w:jc w:val="both"/>
        <w:rPr>
          <w:rFonts w:ascii="Times New Roman" w:hAnsi="Times New Roman" w:cs="Times New Roman"/>
          <w:sz w:val="24"/>
          <w:szCs w:val="24"/>
        </w:rPr>
      </w:pPr>
      <w:r w:rsidRPr="009A1EFF">
        <w:rPr>
          <w:rFonts w:ascii="Times New Roman" w:hAnsi="Times New Roman" w:cs="Times New Roman"/>
          <w:sz w:val="24"/>
          <w:szCs w:val="24"/>
        </w:rPr>
        <w:t>1) menyaingi kongsi dagang Inggris di India, yaitu EIC (</w:t>
      </w:r>
      <w:r w:rsidRPr="009A1EFF">
        <w:rPr>
          <w:rFonts w:ascii="Times New Roman" w:hAnsi="Times New Roman" w:cs="Times New Roman"/>
          <w:i/>
          <w:iCs/>
          <w:sz w:val="24"/>
          <w:szCs w:val="24"/>
        </w:rPr>
        <w:t>East India Company</w:t>
      </w:r>
      <w:r w:rsidRPr="009A1EFF">
        <w:rPr>
          <w:rFonts w:ascii="Times New Roman" w:hAnsi="Times New Roman" w:cs="Times New Roman"/>
          <w:sz w:val="24"/>
          <w:szCs w:val="24"/>
        </w:rPr>
        <w:t>),</w:t>
      </w:r>
    </w:p>
    <w:p w:rsidR="00DA68A2" w:rsidRPr="009A1EFF" w:rsidRDefault="00DA68A2" w:rsidP="00DA68A2">
      <w:pPr>
        <w:autoSpaceDE w:val="0"/>
        <w:autoSpaceDN w:val="0"/>
        <w:adjustRightInd w:val="0"/>
        <w:spacing w:after="0"/>
        <w:ind w:hanging="284"/>
        <w:jc w:val="both"/>
        <w:rPr>
          <w:rFonts w:ascii="Times New Roman" w:hAnsi="Times New Roman" w:cs="Times New Roman"/>
          <w:sz w:val="24"/>
          <w:szCs w:val="24"/>
        </w:rPr>
      </w:pPr>
      <w:r w:rsidRPr="009A1EFF">
        <w:rPr>
          <w:rFonts w:ascii="Times New Roman" w:hAnsi="Times New Roman" w:cs="Times New Roman"/>
          <w:sz w:val="24"/>
          <w:szCs w:val="24"/>
        </w:rPr>
        <w:t>2) menguasai pelabuhan-pelabuhan penting dan kerajaan-kerajaan, serta</w:t>
      </w:r>
    </w:p>
    <w:p w:rsidR="00DA68A2" w:rsidRPr="009A1EFF" w:rsidRDefault="00DA68A2" w:rsidP="00DA68A2">
      <w:pPr>
        <w:autoSpaceDE w:val="0"/>
        <w:autoSpaceDN w:val="0"/>
        <w:adjustRightInd w:val="0"/>
        <w:spacing w:after="0"/>
        <w:ind w:hanging="284"/>
        <w:jc w:val="both"/>
        <w:rPr>
          <w:rFonts w:ascii="Times New Roman" w:hAnsi="Times New Roman" w:cs="Times New Roman"/>
          <w:sz w:val="24"/>
          <w:szCs w:val="24"/>
        </w:rPr>
      </w:pPr>
      <w:r w:rsidRPr="009A1EFF">
        <w:rPr>
          <w:rFonts w:ascii="Times New Roman" w:hAnsi="Times New Roman" w:cs="Times New Roman"/>
          <w:sz w:val="24"/>
          <w:szCs w:val="24"/>
        </w:rPr>
        <w:t>3) melaksanakan monopoli perdagangan rempah-rempah.</w:t>
      </w:r>
    </w:p>
    <w:p w:rsidR="00DA68A2" w:rsidRPr="009A1EFF" w:rsidRDefault="00DA68A2" w:rsidP="00DA68A2">
      <w:pPr>
        <w:autoSpaceDE w:val="0"/>
        <w:autoSpaceDN w:val="0"/>
        <w:adjustRightInd w:val="0"/>
        <w:spacing w:after="0"/>
        <w:ind w:firstLine="567"/>
        <w:jc w:val="both"/>
        <w:rPr>
          <w:rFonts w:ascii="Times New Roman" w:hAnsi="Times New Roman" w:cs="Times New Roman"/>
          <w:sz w:val="24"/>
          <w:szCs w:val="24"/>
        </w:rPr>
      </w:pPr>
      <w:r w:rsidRPr="009A1EFF">
        <w:rPr>
          <w:rFonts w:ascii="Times New Roman" w:hAnsi="Times New Roman" w:cs="Times New Roman"/>
          <w:sz w:val="24"/>
          <w:szCs w:val="24"/>
        </w:rPr>
        <w:t xml:space="preserve">Di Indonesia, VOC berusaha mengisi kas keuangannya yang kosong. VOC menerapkan aturan baru yaitu </w:t>
      </w:r>
      <w:r w:rsidRPr="009A1EFF">
        <w:rPr>
          <w:rFonts w:ascii="Times New Roman" w:hAnsi="Times New Roman" w:cs="Times New Roman"/>
          <w:i/>
          <w:iCs/>
          <w:sz w:val="24"/>
          <w:szCs w:val="24"/>
        </w:rPr>
        <w:t xml:space="preserve">Verplichte Leverantie </w:t>
      </w:r>
      <w:r w:rsidRPr="009A1EFF">
        <w:rPr>
          <w:rFonts w:ascii="Times New Roman" w:hAnsi="Times New Roman" w:cs="Times New Roman"/>
          <w:sz w:val="24"/>
          <w:szCs w:val="24"/>
        </w:rPr>
        <w:t xml:space="preserve">atau penyerahan wajib. Tiap daerah diwajibkan menyerahkan hasil bumi kepada VOC menurut harga yang telah ditentukan. Hasil bumi yang wajib diserahkan yaitu lada, kayu manis, beras, ternak, nila, gula, dan kapas. Selain itu, VOC juga menerapkan </w:t>
      </w:r>
      <w:r w:rsidRPr="009A1EFF">
        <w:rPr>
          <w:rFonts w:ascii="Times New Roman" w:hAnsi="Times New Roman" w:cs="Times New Roman"/>
          <w:i/>
          <w:iCs/>
          <w:sz w:val="24"/>
          <w:szCs w:val="24"/>
        </w:rPr>
        <w:t>Prianger stelsel,</w:t>
      </w:r>
      <w:r w:rsidRPr="009A1EFF">
        <w:rPr>
          <w:rFonts w:ascii="Times New Roman" w:hAnsi="Times New Roman" w:cs="Times New Roman"/>
          <w:sz w:val="24"/>
          <w:szCs w:val="24"/>
        </w:rPr>
        <w:t xml:space="preserve"> yaitu aturan yang mewajibkan rakyat Priangan menanam kopi dan menyerahkan hasilnya kepada VOC. Dari aturan-aturan tersebut, VOC meneguk keuntungan yang sangat besar. Namun tidak bertahan lama karena mulai akhir abad ke-18 keuangan VOC terus mengalami kemerosotan. Penyebabnya adalah mengalami kerugian yang besar dan utang yang cukup banyak.</w:t>
      </w: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DA68A2" w:rsidRDefault="00DA68A2" w:rsidP="00DA68A2">
      <w:pPr>
        <w:autoSpaceDE w:val="0"/>
        <w:autoSpaceDN w:val="0"/>
        <w:adjustRightInd w:val="0"/>
        <w:spacing w:after="0"/>
        <w:ind w:left="567" w:hanging="283"/>
        <w:jc w:val="both"/>
        <w:rPr>
          <w:rFonts w:ascii="Times New Roman" w:hAnsi="Times New Roman" w:cs="Times New Roman"/>
          <w:sz w:val="24"/>
          <w:szCs w:val="24"/>
        </w:rPr>
      </w:pPr>
    </w:p>
    <w:p w:rsidR="00863A86" w:rsidRDefault="00863A86" w:rsidP="00DA68A2">
      <w:pPr>
        <w:autoSpaceDE w:val="0"/>
        <w:autoSpaceDN w:val="0"/>
        <w:adjustRightInd w:val="0"/>
        <w:spacing w:after="0"/>
        <w:ind w:left="567" w:hanging="283"/>
        <w:jc w:val="both"/>
        <w:rPr>
          <w:rFonts w:ascii="Times New Roman" w:hAnsi="Times New Roman" w:cs="Times New Roman"/>
          <w:sz w:val="24"/>
          <w:szCs w:val="24"/>
        </w:rPr>
      </w:pPr>
    </w:p>
    <w:p w:rsidR="00863A86" w:rsidRPr="009A1EFF" w:rsidRDefault="00863A86" w:rsidP="00DA68A2">
      <w:pPr>
        <w:autoSpaceDE w:val="0"/>
        <w:autoSpaceDN w:val="0"/>
        <w:adjustRightInd w:val="0"/>
        <w:spacing w:after="0"/>
        <w:ind w:left="567" w:hanging="283"/>
        <w:jc w:val="both"/>
        <w:rPr>
          <w:rFonts w:ascii="Times New Roman" w:hAnsi="Times New Roman" w:cs="Times New Roman"/>
          <w:sz w:val="24"/>
          <w:szCs w:val="24"/>
        </w:rPr>
      </w:pPr>
    </w:p>
    <w:p w:rsidR="00DA68A2" w:rsidRPr="00DA68A2" w:rsidRDefault="00DA68A2" w:rsidP="00DA68A2">
      <w:pPr>
        <w:pStyle w:val="ListParagraph"/>
        <w:numPr>
          <w:ilvl w:val="0"/>
          <w:numId w:val="2"/>
        </w:numPr>
        <w:autoSpaceDE w:val="0"/>
        <w:autoSpaceDN w:val="0"/>
        <w:adjustRightInd w:val="0"/>
        <w:spacing w:after="0"/>
        <w:ind w:left="0" w:firstLine="0"/>
        <w:jc w:val="center"/>
        <w:rPr>
          <w:rFonts w:ascii="Times New Roman" w:hAnsi="Times New Roman" w:cs="Times New Roman"/>
          <w:b/>
          <w:sz w:val="28"/>
          <w:szCs w:val="28"/>
        </w:rPr>
      </w:pPr>
      <w:r w:rsidRPr="00DA68A2">
        <w:rPr>
          <w:rFonts w:ascii="Times New Roman" w:hAnsi="Times New Roman" w:cs="Times New Roman"/>
          <w:b/>
          <w:sz w:val="28"/>
          <w:szCs w:val="28"/>
        </w:rPr>
        <w:lastRenderedPageBreak/>
        <w:t>Kekuasaan Pemerintah Kerajaan Belanda di Bawah Kendali Prancis</w:t>
      </w:r>
    </w:p>
    <w:p w:rsidR="00DA68A2" w:rsidRPr="00DA68A2" w:rsidRDefault="00DA68A2" w:rsidP="00DA68A2">
      <w:pPr>
        <w:pStyle w:val="ListParagraph"/>
        <w:autoSpaceDE w:val="0"/>
        <w:autoSpaceDN w:val="0"/>
        <w:adjustRightInd w:val="0"/>
        <w:spacing w:after="0"/>
        <w:ind w:left="644"/>
        <w:rPr>
          <w:rFonts w:ascii="Times New Roman" w:hAnsi="Times New Roman" w:cs="Times New Roman"/>
          <w:b/>
          <w:sz w:val="28"/>
          <w:szCs w:val="28"/>
        </w:rPr>
      </w:pPr>
    </w:p>
    <w:p w:rsidR="00DA68A2" w:rsidRPr="009A1EFF" w:rsidRDefault="00DA68A2" w:rsidP="00DA68A2">
      <w:pPr>
        <w:autoSpaceDE w:val="0"/>
        <w:autoSpaceDN w:val="0"/>
        <w:adjustRightInd w:val="0"/>
        <w:spacing w:after="0"/>
        <w:ind w:firstLine="567"/>
        <w:jc w:val="both"/>
        <w:rPr>
          <w:rFonts w:ascii="Times New Roman" w:hAnsi="Times New Roman" w:cs="Times New Roman"/>
          <w:sz w:val="24"/>
          <w:szCs w:val="24"/>
        </w:rPr>
      </w:pPr>
      <w:r w:rsidRPr="009A1EFF">
        <w:rPr>
          <w:rFonts w:ascii="Times New Roman" w:hAnsi="Times New Roman" w:cs="Times New Roman"/>
          <w:sz w:val="24"/>
          <w:szCs w:val="24"/>
        </w:rPr>
        <w:t>Pada akhir abad ke -18 VOC mengalami kemerosotan. Hal ini diakibatkan oleh:</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1) persaingan perdagangan dengan kongsi-kongsi lain dari bangsa Inggris dan Prancis,</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2) penduduk Indonesia, terutama di Jawa telah menjadi miskin sehingga tidak mampu membeli barang-barang VOC,</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3) perdagangan gelap merajalela, dan menerobos monopoli perdagangan VOC,</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4) pegawai-pegawai VOC banyak yang korupsi,</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5) banyak biaya perang yang dikeluarkan untuk mengatasi perlawanan penduduk, dan</w:t>
      </w:r>
    </w:p>
    <w:p w:rsidR="00DA68A2" w:rsidRPr="009A1EFF" w:rsidRDefault="00DA68A2" w:rsidP="00DA68A2">
      <w:pPr>
        <w:autoSpaceDE w:val="0"/>
        <w:autoSpaceDN w:val="0"/>
        <w:adjustRightInd w:val="0"/>
        <w:spacing w:after="0"/>
        <w:ind w:left="284" w:hanging="284"/>
        <w:jc w:val="both"/>
        <w:rPr>
          <w:rFonts w:ascii="Times New Roman" w:hAnsi="Times New Roman" w:cs="Times New Roman"/>
          <w:sz w:val="24"/>
          <w:szCs w:val="24"/>
        </w:rPr>
      </w:pPr>
      <w:r w:rsidRPr="009A1EFF">
        <w:rPr>
          <w:rFonts w:ascii="Times New Roman" w:hAnsi="Times New Roman" w:cs="Times New Roman"/>
          <w:sz w:val="24"/>
          <w:szCs w:val="24"/>
        </w:rPr>
        <w:t>6) kerugian yang cukup besar dan utang yang berjumlah banyak.</w:t>
      </w:r>
    </w:p>
    <w:p w:rsidR="00DA68A2" w:rsidRPr="009A1EFF" w:rsidRDefault="00DA68A2" w:rsidP="00DA68A2">
      <w:pPr>
        <w:autoSpaceDE w:val="0"/>
        <w:autoSpaceDN w:val="0"/>
        <w:adjustRightInd w:val="0"/>
        <w:spacing w:after="0"/>
        <w:ind w:firstLine="567"/>
        <w:jc w:val="both"/>
        <w:rPr>
          <w:rFonts w:ascii="Times New Roman" w:hAnsi="Times New Roman" w:cs="Times New Roman"/>
          <w:sz w:val="24"/>
          <w:szCs w:val="24"/>
        </w:rPr>
      </w:pPr>
      <w:r w:rsidRPr="009A1EFF">
        <w:rPr>
          <w:rFonts w:ascii="Times New Roman" w:hAnsi="Times New Roman" w:cs="Times New Roman"/>
          <w:sz w:val="24"/>
          <w:szCs w:val="24"/>
        </w:rPr>
        <w:t>Akhirnya pada tanggal 31 Desember 1799 VOC dibubarkan dengan hutang 134,7 juta gulden. Hak dan kewajibannya diambil alih oleh pemerintah Republik Bataafsche di bawah kendali Prancis. Pada tahun 1808, Daendels diangkat menjadi Gubernur Jenderal untuk wilayah Indonesia. Tugas utamanya adalah untuk mempertahankan Pulau Jawa dari serangan pasukan Inggris. Selanjutnya, Daendels diganti oleh Janssen namun ia lemah. Akibatnya tidak mampu menghadapi Inggris. Melalui Kapitulasi Tuntang Janssens menyerah kepada Inggris. Indonesia menjadi jajahan Inggris.</w:t>
      </w: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863A86" w:rsidRDefault="00863A86"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DA68A2" w:rsidRPr="00DA68A2" w:rsidRDefault="00DA68A2" w:rsidP="00DA68A2">
      <w:pPr>
        <w:pStyle w:val="ListParagraph"/>
        <w:numPr>
          <w:ilvl w:val="0"/>
          <w:numId w:val="2"/>
        </w:numPr>
        <w:autoSpaceDE w:val="0"/>
        <w:autoSpaceDN w:val="0"/>
        <w:adjustRightInd w:val="0"/>
        <w:spacing w:after="0"/>
        <w:jc w:val="center"/>
        <w:rPr>
          <w:rFonts w:ascii="Times New Roman" w:hAnsi="Times New Roman" w:cs="Times New Roman"/>
          <w:b/>
          <w:sz w:val="28"/>
          <w:szCs w:val="28"/>
        </w:rPr>
      </w:pPr>
      <w:r w:rsidRPr="00DA68A2">
        <w:rPr>
          <w:rFonts w:ascii="Times New Roman" w:hAnsi="Times New Roman" w:cs="Times New Roman"/>
          <w:b/>
          <w:sz w:val="28"/>
          <w:szCs w:val="28"/>
        </w:rPr>
        <w:lastRenderedPageBreak/>
        <w:t>Kekuasaan Pemerintahan Inggris</w:t>
      </w:r>
    </w:p>
    <w:p w:rsidR="00DA68A2" w:rsidRPr="00DA68A2" w:rsidRDefault="00DA68A2" w:rsidP="00DA68A2">
      <w:pPr>
        <w:pStyle w:val="ListParagraph"/>
        <w:autoSpaceDE w:val="0"/>
        <w:autoSpaceDN w:val="0"/>
        <w:adjustRightInd w:val="0"/>
        <w:spacing w:after="0"/>
        <w:ind w:left="644"/>
        <w:rPr>
          <w:rFonts w:ascii="Times New Roman" w:hAnsi="Times New Roman" w:cs="Times New Roman"/>
          <w:b/>
          <w:sz w:val="28"/>
          <w:szCs w:val="28"/>
        </w:rPr>
      </w:pPr>
    </w:p>
    <w:p w:rsidR="00DA68A2" w:rsidRPr="009A1EFF" w:rsidRDefault="00DA68A2" w:rsidP="00DA68A2">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Sejak tahun 1811, Indonesia berada di bawah kekuasaan Inggris. Gubernur Jenderal Lord Minto memercayakan kepada Thomas Stamford Raflles sebagai kepala pemerintahan Inggris di Indonesia. Raflles memulai tugasnya pada tanggal 19 Oktober</w:t>
      </w:r>
    </w:p>
    <w:p w:rsidR="00DA68A2" w:rsidRDefault="00DA68A2" w:rsidP="00DA68A2">
      <w:pPr>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1811 yang berkedudukan di Jakarta.</w:t>
      </w: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863A86" w:rsidRDefault="00863A86" w:rsidP="00DA68A2">
      <w:pPr>
        <w:spacing w:after="0"/>
        <w:ind w:left="567"/>
        <w:jc w:val="both"/>
        <w:rPr>
          <w:rFonts w:ascii="Times New Roman" w:hAnsi="Times New Roman" w:cs="Times New Roman"/>
          <w:sz w:val="24"/>
          <w:szCs w:val="24"/>
        </w:rPr>
      </w:pPr>
    </w:p>
    <w:p w:rsidR="00863A86" w:rsidRDefault="00863A86" w:rsidP="00DA68A2">
      <w:pPr>
        <w:spacing w:after="0"/>
        <w:ind w:left="567"/>
        <w:jc w:val="both"/>
        <w:rPr>
          <w:rFonts w:ascii="Times New Roman" w:hAnsi="Times New Roman" w:cs="Times New Roman"/>
          <w:sz w:val="24"/>
          <w:szCs w:val="24"/>
        </w:rPr>
      </w:pPr>
    </w:p>
    <w:p w:rsidR="00863A86" w:rsidRDefault="00863A86" w:rsidP="00DA68A2">
      <w:pPr>
        <w:spacing w:after="0"/>
        <w:ind w:left="567"/>
        <w:jc w:val="both"/>
        <w:rPr>
          <w:rFonts w:ascii="Times New Roman" w:hAnsi="Times New Roman" w:cs="Times New Roman"/>
          <w:sz w:val="24"/>
          <w:szCs w:val="24"/>
        </w:rPr>
      </w:pPr>
    </w:p>
    <w:p w:rsidR="00DA68A2" w:rsidRDefault="00DA68A2" w:rsidP="00DA68A2">
      <w:pPr>
        <w:spacing w:after="0"/>
        <w:ind w:left="567"/>
        <w:jc w:val="both"/>
        <w:rPr>
          <w:rFonts w:ascii="Times New Roman" w:hAnsi="Times New Roman" w:cs="Times New Roman"/>
          <w:sz w:val="24"/>
          <w:szCs w:val="24"/>
        </w:rPr>
      </w:pPr>
    </w:p>
    <w:p w:rsidR="00DA68A2" w:rsidRPr="009A1EFF" w:rsidRDefault="00DA68A2" w:rsidP="00DA68A2">
      <w:pPr>
        <w:spacing w:after="0"/>
        <w:ind w:left="567"/>
        <w:jc w:val="both"/>
        <w:rPr>
          <w:rFonts w:ascii="Times New Roman" w:hAnsi="Times New Roman" w:cs="Times New Roman"/>
          <w:sz w:val="24"/>
          <w:szCs w:val="24"/>
        </w:rPr>
      </w:pPr>
    </w:p>
    <w:p w:rsidR="00DA68A2" w:rsidRPr="009A1EFF" w:rsidRDefault="00DA68A2" w:rsidP="00DA68A2">
      <w:pPr>
        <w:spacing w:after="0"/>
        <w:ind w:left="567"/>
        <w:jc w:val="both"/>
        <w:rPr>
          <w:rFonts w:ascii="Times New Roman" w:hAnsi="Times New Roman" w:cs="Times New Roman"/>
          <w:sz w:val="24"/>
          <w:szCs w:val="24"/>
        </w:rPr>
      </w:pPr>
    </w:p>
    <w:p w:rsidR="00DA68A2" w:rsidRPr="00DA68A2" w:rsidRDefault="00DA68A2" w:rsidP="00DA68A2">
      <w:pPr>
        <w:pStyle w:val="ListParagraph"/>
        <w:numPr>
          <w:ilvl w:val="0"/>
          <w:numId w:val="2"/>
        </w:numPr>
        <w:autoSpaceDE w:val="0"/>
        <w:autoSpaceDN w:val="0"/>
        <w:adjustRightInd w:val="0"/>
        <w:spacing w:after="0"/>
        <w:jc w:val="center"/>
        <w:rPr>
          <w:rFonts w:ascii="Times New Roman" w:hAnsi="Times New Roman" w:cs="Times New Roman"/>
          <w:b/>
          <w:sz w:val="28"/>
          <w:szCs w:val="28"/>
        </w:rPr>
      </w:pPr>
      <w:r w:rsidRPr="00DA68A2">
        <w:rPr>
          <w:rFonts w:ascii="Times New Roman" w:hAnsi="Times New Roman" w:cs="Times New Roman"/>
          <w:b/>
          <w:sz w:val="28"/>
          <w:szCs w:val="28"/>
        </w:rPr>
        <w:lastRenderedPageBreak/>
        <w:t>Kekuasaan Pemerintahan Hindia Belanda</w:t>
      </w:r>
    </w:p>
    <w:p w:rsidR="00DA68A2" w:rsidRPr="00DA68A2" w:rsidRDefault="00DA68A2" w:rsidP="00DA68A2">
      <w:pPr>
        <w:pStyle w:val="ListParagraph"/>
        <w:autoSpaceDE w:val="0"/>
        <w:autoSpaceDN w:val="0"/>
        <w:adjustRightInd w:val="0"/>
        <w:spacing w:after="0"/>
        <w:ind w:left="644"/>
        <w:rPr>
          <w:rFonts w:ascii="Times New Roman" w:hAnsi="Times New Roman" w:cs="Times New Roman"/>
          <w:b/>
          <w:sz w:val="28"/>
          <w:szCs w:val="28"/>
        </w:rPr>
      </w:pPr>
    </w:p>
    <w:p w:rsidR="00DA68A2" w:rsidRPr="009A1EFF" w:rsidRDefault="00DA68A2" w:rsidP="00DA68A2">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Keadaan Perang Koalisi di Eropa tahun 1814 mulai terbalik. Prancis mulai terdesak dalam perang, bahkan Napoleon berhasil ditangkap. Kekalahan Prancis dalam Perang Koalisi menyebabkan Belanda sudah tidak lagi berada di bawah pengaruh Prancis. Hubungan antara Belanda dan Inggris yang sebelumnya bermusuhan (Belanda menjadi jajahan Prancis sehingga harus menjadi sekutu Prancis) mulai membaik. Untuk menyelesaikan permasalahan, Inggris dan Belanda pada tahun 1814 mengadakan suatu pertemuan yang menghasilkan suatu kesepakatan yang dinamakan Konvensi London 1814 (</w:t>
      </w:r>
      <w:r w:rsidRPr="009A1EFF">
        <w:rPr>
          <w:rFonts w:ascii="Times New Roman" w:hAnsi="Times New Roman" w:cs="Times New Roman"/>
          <w:i/>
          <w:iCs/>
          <w:sz w:val="24"/>
          <w:szCs w:val="24"/>
        </w:rPr>
        <w:t>Convention of London 1814</w:t>
      </w:r>
      <w:r w:rsidRPr="009A1EFF">
        <w:rPr>
          <w:rFonts w:ascii="Times New Roman" w:hAnsi="Times New Roman" w:cs="Times New Roman"/>
          <w:sz w:val="24"/>
          <w:szCs w:val="24"/>
        </w:rPr>
        <w:t>). Konvensi tersebut berisi:</w:t>
      </w:r>
    </w:p>
    <w:p w:rsidR="00DA68A2" w:rsidRPr="009A1EFF" w:rsidRDefault="00DA68A2" w:rsidP="00DA68A2">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Belanda memperoleh kembali daerah jajahannya yang dulu direbut Inggris, dan</w:t>
      </w:r>
    </w:p>
    <w:p w:rsidR="00DA68A2" w:rsidRPr="009A1EFF" w:rsidRDefault="00DA68A2" w:rsidP="00DA68A2">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w:t>
      </w:r>
      <w:r w:rsidRPr="009A1EFF">
        <w:rPr>
          <w:rFonts w:ascii="Times New Roman" w:hAnsi="Times New Roman" w:cs="Times New Roman"/>
          <w:sz w:val="24"/>
          <w:szCs w:val="24"/>
        </w:rPr>
        <w:tab/>
        <w:t>Indonesia juga harus diserahkan kembali kepada Belanda. John Fendall menyerahkan kekuasaan wilayah Indonesia ke pihak Belanda, dan diterima oleh sebuah komisi jenderal. Komisi jenderal ini terdiri atas tiga orang yaitu Mr. Elout, van der Capellen, dan Buyskes. Tugas komisi jenderal sangat berat yaitu dituntut memperbaiki sistem politik dan ekonomi. Sejak saat itu, Indonesia berada di bawah kekuasaan pemerintahan kolonial Belanda. Van der Capellen diangkat sebagai Gubernur Jenderal Hindia Belanda.</w:t>
      </w:r>
    </w:p>
    <w:p w:rsidR="00DA68A2" w:rsidRPr="009A1EFF" w:rsidRDefault="00DA68A2" w:rsidP="00DA68A2">
      <w:pPr>
        <w:autoSpaceDE w:val="0"/>
        <w:autoSpaceDN w:val="0"/>
        <w:adjustRightInd w:val="0"/>
        <w:spacing w:after="0"/>
        <w:ind w:left="284" w:firstLine="850"/>
        <w:jc w:val="both"/>
        <w:rPr>
          <w:rFonts w:ascii="Times New Roman" w:hAnsi="Times New Roman" w:cs="Times New Roman"/>
          <w:sz w:val="24"/>
          <w:szCs w:val="24"/>
        </w:rPr>
      </w:pPr>
      <w:r w:rsidRPr="009A1EFF">
        <w:rPr>
          <w:rFonts w:ascii="Times New Roman" w:hAnsi="Times New Roman" w:cs="Times New Roman"/>
          <w:sz w:val="24"/>
          <w:szCs w:val="24"/>
        </w:rPr>
        <w:t>Berbagai tantangan menghadang, seperti:</w:t>
      </w:r>
    </w:p>
    <w:p w:rsidR="00DA68A2" w:rsidRPr="009A1EFF" w:rsidRDefault="00DA68A2" w:rsidP="00DA68A2">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menghadapi perekonomian yang buruk,</w:t>
      </w:r>
    </w:p>
    <w:p w:rsidR="00DA68A2" w:rsidRPr="009A1EFF" w:rsidRDefault="00DA68A2" w:rsidP="00DA68A2">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persaingan perdagangan dengan Inggris, dan</w:t>
      </w:r>
    </w:p>
    <w:p w:rsidR="00DA68A2" w:rsidRPr="009A1EFF" w:rsidRDefault="00DA68A2" w:rsidP="00DA68A2">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sikap bangsa Indonesia yang memusuhi Belanda.</w:t>
      </w:r>
    </w:p>
    <w:p w:rsidR="00DA68A2" w:rsidRPr="009A1EFF" w:rsidRDefault="00DA68A2" w:rsidP="00DA68A2">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Dengan demikian, terbentuknya kolonial di Indonesia dipelopori oleh kedatangan Portugis di Maluku tahun 1512. VOC mengambil alih posisi Portugis berkuasa di Indonesia, efektif sejak tahun 1641.Tongkat estafet kekuasaan di Indonesia kemudian berturut-turut jatuh pada pihak Kerajaan Belanda, direbut Inggris, dan akhirnya cukup langgeng di bawah kekuasaan Hindia Belanda sampai pendudukan Jepang tahun 1942.</w:t>
      </w:r>
    </w:p>
    <w:p w:rsidR="00DA68A2" w:rsidRPr="009A1EFF" w:rsidRDefault="00DA68A2" w:rsidP="00DA68A2">
      <w:pPr>
        <w:autoSpaceDE w:val="0"/>
        <w:autoSpaceDN w:val="0"/>
        <w:adjustRightInd w:val="0"/>
        <w:spacing w:after="0" w:line="360" w:lineRule="auto"/>
        <w:ind w:firstLine="567"/>
        <w:jc w:val="both"/>
        <w:rPr>
          <w:rFonts w:ascii="Times New Roman" w:hAnsi="Times New Roman" w:cs="Times New Roman"/>
          <w:sz w:val="24"/>
          <w:szCs w:val="24"/>
        </w:rPr>
      </w:pPr>
    </w:p>
    <w:p w:rsidR="000928A4" w:rsidRDefault="000928A4"/>
    <w:sectPr w:rsidR="000928A4" w:rsidSect="00863A86">
      <w:pgSz w:w="12240" w:h="18720" w:code="14"/>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80304"/>
    <w:multiLevelType w:val="hybridMultilevel"/>
    <w:tmpl w:val="85DA9FD0"/>
    <w:lvl w:ilvl="0" w:tplc="A930237A">
      <w:start w:val="3"/>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585B7251"/>
    <w:multiLevelType w:val="hybridMultilevel"/>
    <w:tmpl w:val="CDAE0AAE"/>
    <w:lvl w:ilvl="0" w:tplc="19AC30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characterSpacingControl w:val="doNotCompress"/>
  <w:compat/>
  <w:rsids>
    <w:rsidRoot w:val="00DA68A2"/>
    <w:rsid w:val="000928A4"/>
    <w:rsid w:val="003E3594"/>
    <w:rsid w:val="004940E5"/>
    <w:rsid w:val="00802B01"/>
    <w:rsid w:val="00836E86"/>
    <w:rsid w:val="00863A86"/>
    <w:rsid w:val="00B706F0"/>
    <w:rsid w:val="00DA68A2"/>
    <w:rsid w:val="00F55D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2013-08-19T22:34:00Z</dcterms:created>
  <dcterms:modified xsi:type="dcterms:W3CDTF">2013-10-10T17:05:00Z</dcterms:modified>
</cp:coreProperties>
</file>