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99" w:rsidRDefault="00CD44DE" w:rsidP="00CD44DE">
      <w:pPr>
        <w:ind w:firstLine="0"/>
        <w:rPr>
          <w:b/>
          <w:sz w:val="28"/>
          <w:szCs w:val="28"/>
        </w:rPr>
      </w:pPr>
      <w:bookmarkStart w:id="0" w:name="Title_2"/>
      <w:r>
        <w:rPr>
          <w:b/>
          <w:noProof/>
          <w:sz w:val="28"/>
          <w:szCs w:val="28"/>
          <w:lang w:val="en-US"/>
        </w:rPr>
        <w:drawing>
          <wp:anchor distT="0" distB="0" distL="114300" distR="114300" simplePos="0" relativeHeight="251660800" behindDoc="0" locked="0" layoutInCell="1" allowOverlap="1">
            <wp:simplePos x="0" y="0"/>
            <wp:positionH relativeFrom="column">
              <wp:posOffset>2417445</wp:posOffset>
            </wp:positionH>
            <wp:positionV relativeFrom="paragraph">
              <wp:posOffset>85090</wp:posOffset>
            </wp:positionV>
            <wp:extent cx="648942" cy="663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42" cy="663575"/>
                    </a:xfrm>
                    <a:prstGeom prst="rect">
                      <a:avLst/>
                    </a:prstGeom>
                  </pic:spPr>
                </pic:pic>
              </a:graphicData>
            </a:graphic>
          </wp:anchor>
        </w:drawing>
      </w:r>
      <w:r>
        <w:rPr>
          <w:b/>
          <w:noProof/>
          <w:sz w:val="28"/>
          <w:szCs w:val="28"/>
          <w:lang w:val="en-US"/>
        </w:rPr>
        <w:drawing>
          <wp:anchor distT="0" distB="0" distL="114300" distR="114300" simplePos="0" relativeHeight="251657728" behindDoc="0" locked="0" layoutInCell="1" allowOverlap="1">
            <wp:simplePos x="0" y="0"/>
            <wp:positionH relativeFrom="column">
              <wp:posOffset>3143250</wp:posOffset>
            </wp:positionH>
            <wp:positionV relativeFrom="paragraph">
              <wp:posOffset>85725</wp:posOffset>
            </wp:positionV>
            <wp:extent cx="581025" cy="714375"/>
            <wp:effectExtent l="19050" t="0" r="9525" b="0"/>
            <wp:wrapNone/>
            <wp:docPr id="3" name="Picture 3" descr="J:\PAHMI9-UM DAN FIS UNY\draft desain\foto gedung fis\logo universiti ma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AHMI9-UM DAN FIS UNY\draft desain\foto gedung fis\logo universiti malaya.jpg"/>
                    <pic:cNvPicPr>
                      <a:picLocks noChangeAspect="1" noChangeArrowheads="1"/>
                    </pic:cNvPicPr>
                  </pic:nvPicPr>
                  <pic:blipFill>
                    <a:blip r:embed="rId9" cstate="print"/>
                    <a:srcRect/>
                    <a:stretch>
                      <a:fillRect/>
                    </a:stretch>
                  </pic:blipFill>
                  <pic:spPr bwMode="auto">
                    <a:xfrm>
                      <a:off x="0" y="0"/>
                      <a:ext cx="581025" cy="714375"/>
                    </a:xfrm>
                    <a:prstGeom prst="rect">
                      <a:avLst/>
                    </a:prstGeom>
                    <a:noFill/>
                    <a:ln w="9525">
                      <a:noFill/>
                      <a:miter lim="800000"/>
                      <a:headEnd/>
                      <a:tailEnd/>
                    </a:ln>
                  </pic:spPr>
                </pic:pic>
              </a:graphicData>
            </a:graphic>
          </wp:anchor>
        </w:drawing>
      </w:r>
    </w:p>
    <w:p w:rsidR="00397B99" w:rsidRDefault="00397B99" w:rsidP="003024FB">
      <w:pPr>
        <w:jc w:val="center"/>
        <w:rPr>
          <w:b/>
          <w:sz w:val="28"/>
          <w:szCs w:val="28"/>
        </w:rPr>
      </w:pPr>
    </w:p>
    <w:p w:rsidR="00397B99" w:rsidRDefault="00397B99" w:rsidP="003024FB">
      <w:pPr>
        <w:jc w:val="center"/>
        <w:rPr>
          <w:b/>
          <w:sz w:val="28"/>
          <w:szCs w:val="28"/>
        </w:rPr>
      </w:pPr>
    </w:p>
    <w:p w:rsidR="00397B99" w:rsidRDefault="00397B99" w:rsidP="003024FB">
      <w:pPr>
        <w:jc w:val="center"/>
        <w:rPr>
          <w:b/>
          <w:sz w:val="28"/>
          <w:szCs w:val="28"/>
        </w:rPr>
      </w:pPr>
    </w:p>
    <w:p w:rsidR="00CD44DE" w:rsidRDefault="00CD44DE" w:rsidP="003024FB">
      <w:pPr>
        <w:jc w:val="center"/>
        <w:rPr>
          <w:b/>
          <w:sz w:val="28"/>
          <w:szCs w:val="28"/>
        </w:rPr>
      </w:pPr>
    </w:p>
    <w:p w:rsidR="003024FB" w:rsidRDefault="003024FB" w:rsidP="0024288D">
      <w:pPr>
        <w:pStyle w:val="Titleofthepaper"/>
        <w:rPr>
          <w:noProof w:val="0"/>
          <w:lang w:val="en-GB"/>
        </w:rPr>
      </w:pPr>
    </w:p>
    <w:p w:rsidR="0024288D" w:rsidRDefault="003024FB" w:rsidP="0024288D">
      <w:pPr>
        <w:pStyle w:val="Titleofthepaper"/>
        <w:rPr>
          <w:rFonts w:ascii="Times New Roman" w:hAnsi="Times New Roman"/>
          <w:sz w:val="24"/>
          <w:szCs w:val="24"/>
          <w:lang w:val="sv-SE"/>
        </w:rPr>
      </w:pPr>
      <w:r>
        <w:rPr>
          <w:noProof w:val="0"/>
          <w:lang w:val="en-GB"/>
        </w:rPr>
        <w:t xml:space="preserve"> </w:t>
      </w:r>
      <w:bookmarkEnd w:id="0"/>
      <w:r w:rsidR="002625A9" w:rsidRPr="005D121F">
        <w:rPr>
          <w:rFonts w:ascii="Times New Roman" w:hAnsi="Times New Roman"/>
          <w:sz w:val="24"/>
          <w:szCs w:val="24"/>
          <w:lang w:val="sv-SE"/>
        </w:rPr>
        <w:t>MERETAS IMPLEMENTASI MANAJEMEN BELANJA PUBLIK PADA ANGGARAN PENDAPATAN DAN BELANJA DAERAH</w:t>
      </w:r>
    </w:p>
    <w:p w:rsidR="002625A9" w:rsidRDefault="002625A9" w:rsidP="0024288D">
      <w:pPr>
        <w:pStyle w:val="Titleofthepaper"/>
        <w:rPr>
          <w:noProof w:val="0"/>
          <w:lang w:val="en-GB"/>
        </w:rPr>
      </w:pPr>
    </w:p>
    <w:p w:rsidR="002625A9" w:rsidRPr="00827806" w:rsidRDefault="002625A9" w:rsidP="002625A9">
      <w:pPr>
        <w:pStyle w:val="NoSpacing"/>
        <w:jc w:val="center"/>
        <w:rPr>
          <w:rFonts w:ascii="Times New Roman" w:hAnsi="Times New Roman" w:cs="Times New Roman"/>
          <w:sz w:val="24"/>
          <w:szCs w:val="24"/>
          <w:lang w:eastAsia="ja-JP"/>
        </w:rPr>
      </w:pPr>
      <w:bookmarkStart w:id="1" w:name="_GoBack"/>
      <w:r w:rsidRPr="00827806">
        <w:rPr>
          <w:rFonts w:ascii="Times New Roman" w:hAnsi="Times New Roman" w:cs="Times New Roman"/>
          <w:sz w:val="24"/>
          <w:szCs w:val="24"/>
          <w:lang w:val="id-ID" w:eastAsia="ja-JP"/>
        </w:rPr>
        <w:t>Hendri Koeswara</w:t>
      </w:r>
    </w:p>
    <w:bookmarkEnd w:id="1"/>
    <w:p w:rsidR="002625A9" w:rsidRPr="00827806" w:rsidRDefault="002625A9" w:rsidP="002625A9">
      <w:pPr>
        <w:pStyle w:val="NoSpacing"/>
        <w:jc w:val="center"/>
        <w:rPr>
          <w:rFonts w:ascii="Times New Roman" w:hAnsi="Times New Roman" w:cs="Times New Roman"/>
          <w:sz w:val="24"/>
          <w:szCs w:val="24"/>
        </w:rPr>
      </w:pPr>
      <w:r w:rsidRPr="00827806">
        <w:rPr>
          <w:rFonts w:ascii="Times New Roman" w:hAnsi="Times New Roman" w:cs="Times New Roman"/>
          <w:sz w:val="24"/>
          <w:szCs w:val="24"/>
        </w:rPr>
        <w:t>Jurusan Ilmu Administrasi Negara Fisip Universitas Andalas Padang, Sumatera Barat</w:t>
      </w:r>
    </w:p>
    <w:p w:rsidR="0024288D" w:rsidRDefault="006C329D" w:rsidP="002625A9">
      <w:pPr>
        <w:pStyle w:val="AuthorAffilliation"/>
        <w:rPr>
          <w:noProof w:val="0"/>
          <w:lang w:val="en-GB"/>
        </w:rPr>
      </w:pPr>
      <w:hyperlink r:id="rId10" w:history="1">
        <w:r w:rsidR="002625A9" w:rsidRPr="00827806">
          <w:rPr>
            <w:rStyle w:val="Hyperlink"/>
            <w:szCs w:val="24"/>
          </w:rPr>
          <w:t>bancretpiliang@gmail.com</w:t>
        </w:r>
      </w:hyperlink>
      <w:r w:rsidR="0024288D">
        <w:rPr>
          <w:noProof w:val="0"/>
          <w:lang w:val="en-GB"/>
        </w:rPr>
        <w:t xml:space="preserve"> </w:t>
      </w:r>
    </w:p>
    <w:p w:rsidR="002625A9" w:rsidRDefault="002625A9" w:rsidP="0024288D">
      <w:pPr>
        <w:pStyle w:val="HeaderAbs"/>
        <w:rPr>
          <w:lang w:val="en-GB"/>
        </w:rPr>
      </w:pPr>
    </w:p>
    <w:p w:rsidR="0024288D" w:rsidRDefault="0024288D" w:rsidP="0024288D">
      <w:pPr>
        <w:pStyle w:val="HeaderAbs"/>
        <w:rPr>
          <w:lang w:val="en-GB"/>
        </w:rPr>
      </w:pPr>
      <w:r>
        <w:rPr>
          <w:lang w:val="en-GB"/>
        </w:rPr>
        <w:t>ABSTRACT</w:t>
      </w:r>
    </w:p>
    <w:p w:rsidR="0099078E" w:rsidRPr="005D121F" w:rsidRDefault="0099078E" w:rsidP="0099078E">
      <w:pPr>
        <w:ind w:firstLine="0"/>
        <w:rPr>
          <w:szCs w:val="24"/>
          <w:lang w:val="id-ID" w:eastAsia="ja-JP"/>
        </w:rPr>
      </w:pPr>
      <w:r w:rsidRPr="005D121F">
        <w:rPr>
          <w:szCs w:val="24"/>
        </w:rPr>
        <w:t>A</w:t>
      </w:r>
      <w:r w:rsidRPr="005D121F">
        <w:rPr>
          <w:szCs w:val="24"/>
          <w:lang w:val="id-ID"/>
        </w:rPr>
        <w:t>nggaran semestinya berisi pernyataan belanja aktual yang ak</w:t>
      </w:r>
      <w:r w:rsidRPr="00E15733">
        <w:rPr>
          <w:szCs w:val="24"/>
          <w:lang w:val="id-ID"/>
        </w:rPr>
        <w:t>an</w:t>
      </w:r>
      <w:r w:rsidRPr="005D121F">
        <w:rPr>
          <w:i/>
          <w:szCs w:val="24"/>
          <w:lang w:val="id-ID"/>
        </w:rPr>
        <w:t xml:space="preserve"> </w:t>
      </w:r>
      <w:r w:rsidRPr="005D121F">
        <w:rPr>
          <w:szCs w:val="24"/>
          <w:lang w:val="id-ID"/>
        </w:rPr>
        <w:t>terjadi selama tahun fiskal atas dasar kehati-hatian (</w:t>
      </w:r>
      <w:r w:rsidRPr="005D121F">
        <w:rPr>
          <w:i/>
          <w:iCs/>
          <w:szCs w:val="24"/>
          <w:lang w:val="id-ID"/>
        </w:rPr>
        <w:t>prudent</w:t>
      </w:r>
      <w:r w:rsidRPr="005D121F">
        <w:rPr>
          <w:szCs w:val="24"/>
          <w:lang w:val="id-ID"/>
        </w:rPr>
        <w:t xml:space="preserve">)  dan  bukan </w:t>
      </w:r>
      <w:r w:rsidRPr="005D121F">
        <w:rPr>
          <w:i/>
          <w:szCs w:val="24"/>
          <w:lang w:val="id-ID"/>
        </w:rPr>
        <w:t xml:space="preserve">wish list </w:t>
      </w:r>
      <w:r w:rsidRPr="005D121F">
        <w:rPr>
          <w:szCs w:val="24"/>
          <w:lang w:val="id-ID"/>
        </w:rPr>
        <w:t>(daftar keinginan)</w:t>
      </w:r>
      <w:r w:rsidRPr="005D121F">
        <w:rPr>
          <w:szCs w:val="24"/>
        </w:rPr>
        <w:t xml:space="preserve">. </w:t>
      </w:r>
      <w:r w:rsidRPr="005D121F">
        <w:rPr>
          <w:szCs w:val="24"/>
          <w:lang w:eastAsia="ja-JP"/>
        </w:rPr>
        <w:t>P</w:t>
      </w:r>
      <w:r w:rsidRPr="005D121F">
        <w:rPr>
          <w:szCs w:val="24"/>
          <w:lang w:val="id-ID" w:eastAsia="ja-JP"/>
        </w:rPr>
        <w:t>enelitian</w:t>
      </w:r>
      <w:r w:rsidRPr="005D121F">
        <w:rPr>
          <w:szCs w:val="24"/>
          <w:lang w:eastAsia="ja-JP"/>
        </w:rPr>
        <w:t>-penelitian</w:t>
      </w:r>
      <w:r w:rsidRPr="005D121F">
        <w:rPr>
          <w:szCs w:val="24"/>
          <w:lang w:val="id-ID" w:eastAsia="ja-JP"/>
        </w:rPr>
        <w:t xml:space="preserve"> </w:t>
      </w:r>
      <w:r w:rsidRPr="005D121F">
        <w:rPr>
          <w:szCs w:val="24"/>
          <w:lang w:eastAsia="ja-JP"/>
        </w:rPr>
        <w:t>yang dilakukan oleh ilmuwan sebelumnya telah menunjukkan p</w:t>
      </w:r>
      <w:r w:rsidRPr="005D121F">
        <w:rPr>
          <w:szCs w:val="24"/>
          <w:lang w:val="id-ID"/>
        </w:rPr>
        <w:t xml:space="preserve">erilaku oportunis dari para aktor utama penganggaran </w:t>
      </w:r>
      <w:r w:rsidRPr="005D121F">
        <w:rPr>
          <w:szCs w:val="24"/>
        </w:rPr>
        <w:t xml:space="preserve">sangat mengganggu upaya perwujudan </w:t>
      </w:r>
      <w:r w:rsidRPr="00E15733">
        <w:rPr>
          <w:i/>
          <w:szCs w:val="24"/>
        </w:rPr>
        <w:t>good governance</w:t>
      </w:r>
      <w:r w:rsidRPr="00E15733">
        <w:rPr>
          <w:szCs w:val="24"/>
        </w:rPr>
        <w:t xml:space="preserve"> </w:t>
      </w:r>
      <w:r w:rsidRPr="00E15733">
        <w:rPr>
          <w:bCs/>
          <w:szCs w:val="24"/>
        </w:rPr>
        <w:t>yang</w:t>
      </w:r>
      <w:r w:rsidRPr="005D121F">
        <w:rPr>
          <w:bCs/>
          <w:i/>
          <w:szCs w:val="24"/>
        </w:rPr>
        <w:t xml:space="preserve"> </w:t>
      </w:r>
      <w:r w:rsidRPr="005D121F">
        <w:rPr>
          <w:bCs/>
          <w:szCs w:val="24"/>
        </w:rPr>
        <w:t>merupakan sasaran dan tujuan yang juga ingin dicapai dalam Manajemen Belanja Publik</w:t>
      </w:r>
      <w:r w:rsidRPr="005D121F">
        <w:rPr>
          <w:szCs w:val="24"/>
        </w:rPr>
        <w:t>. Hal ini</w:t>
      </w:r>
      <w:r w:rsidRPr="005D121F">
        <w:rPr>
          <w:szCs w:val="24"/>
          <w:lang w:val="id-ID"/>
        </w:rPr>
        <w:t xml:space="preserve"> </w:t>
      </w:r>
      <w:r w:rsidRPr="005D121F">
        <w:rPr>
          <w:szCs w:val="24"/>
        </w:rPr>
        <w:t>akhirnya memunculkan pelbagai</w:t>
      </w:r>
      <w:r w:rsidRPr="005D121F">
        <w:rPr>
          <w:szCs w:val="24"/>
          <w:lang w:val="id-ID"/>
        </w:rPr>
        <w:t xml:space="preserve"> patologi (penyakit) anggaran (</w:t>
      </w:r>
      <w:r w:rsidRPr="005D121F">
        <w:rPr>
          <w:i/>
          <w:iCs/>
          <w:szCs w:val="24"/>
          <w:lang w:val="id-ID"/>
        </w:rPr>
        <w:t>budgeting pathologies</w:t>
      </w:r>
      <w:r w:rsidRPr="005D121F">
        <w:rPr>
          <w:szCs w:val="24"/>
          <w:lang w:val="id-ID"/>
        </w:rPr>
        <w:t>) yang merusak disiplin fiskal agregat dan banyak terjadi di negara berkembang</w:t>
      </w:r>
      <w:r w:rsidRPr="005D121F">
        <w:rPr>
          <w:szCs w:val="24"/>
        </w:rPr>
        <w:t xml:space="preserve"> termasuk di pemerintah daerah yang terjadi di era desentralisasi di Indonesia</w:t>
      </w:r>
      <w:r w:rsidRPr="005D121F">
        <w:rPr>
          <w:szCs w:val="24"/>
          <w:lang w:eastAsia="ja-JP"/>
        </w:rPr>
        <w:t xml:space="preserve">. Makalah ini disusun berdasarkan hasil penelitian lanjutan tentang analisis manajemen belanja publik pada APBD di Kota Solok Provinsi Sumatera Barat.  Dalam kajian yang dilakukan ditemukan </w:t>
      </w:r>
      <w:r w:rsidRPr="005D121F">
        <w:rPr>
          <w:szCs w:val="24"/>
          <w:lang w:val="id-ID" w:eastAsia="ja-JP"/>
        </w:rPr>
        <w:t xml:space="preserve">bahwa </w:t>
      </w:r>
      <w:r w:rsidRPr="005D121F">
        <w:rPr>
          <w:szCs w:val="24"/>
          <w:lang w:eastAsia="ja-JP"/>
        </w:rPr>
        <w:t>peng</w:t>
      </w:r>
      <w:r w:rsidRPr="005D121F">
        <w:rPr>
          <w:szCs w:val="24"/>
          <w:lang w:val="id-ID" w:eastAsia="ja-JP"/>
        </w:rPr>
        <w:t>alokasi</w:t>
      </w:r>
      <w:r w:rsidRPr="005D121F">
        <w:rPr>
          <w:szCs w:val="24"/>
          <w:lang w:eastAsia="ja-JP"/>
        </w:rPr>
        <w:t>an</w:t>
      </w:r>
      <w:r w:rsidRPr="005D121F">
        <w:rPr>
          <w:szCs w:val="24"/>
          <w:lang w:val="id-ID" w:eastAsia="ja-JP"/>
        </w:rPr>
        <w:t xml:space="preserve"> belanja Kota Solok </w:t>
      </w:r>
      <w:r w:rsidRPr="005D121F">
        <w:rPr>
          <w:szCs w:val="24"/>
          <w:lang w:eastAsia="ja-JP"/>
        </w:rPr>
        <w:t xml:space="preserve">dalam manajemen belanja publik </w:t>
      </w:r>
      <w:r w:rsidRPr="005D121F">
        <w:rPr>
          <w:szCs w:val="24"/>
          <w:lang w:val="id-ID" w:eastAsia="ja-JP"/>
        </w:rPr>
        <w:t xml:space="preserve">masih </w:t>
      </w:r>
      <w:r w:rsidRPr="005D121F">
        <w:rPr>
          <w:szCs w:val="24"/>
          <w:lang w:eastAsia="ja-JP"/>
        </w:rPr>
        <w:t xml:space="preserve">belum efisien.  Hal ini salah satunya dapat dilihat dengan masih tingginya persentase belanja pegawai terhadap belanja tidak langsung yaitu sebesar 95,4% pada Tahun Anggaran 2014, yang sangat jauh dari persentase ideal sebesar 60%.  Di sisi lain, harus diakui sudah terdapat itikad baik pemerintah Kota Solok pada Tahun Anggaran 2014 perbandingan belanja langsung dan tidak langsung berbanding </w:t>
      </w:r>
      <w:r w:rsidRPr="005D121F">
        <w:rPr>
          <w:szCs w:val="24"/>
        </w:rPr>
        <w:t>50,15:49,85</w:t>
      </w:r>
      <w:r w:rsidRPr="005D121F">
        <w:rPr>
          <w:szCs w:val="24"/>
          <w:lang w:val="id-ID" w:eastAsia="ja-JP"/>
        </w:rPr>
        <w:t xml:space="preserve">. </w:t>
      </w:r>
      <w:r w:rsidRPr="005D121F">
        <w:rPr>
          <w:szCs w:val="24"/>
          <w:lang w:eastAsia="ja-JP"/>
        </w:rPr>
        <w:t xml:space="preserve"> Kondisi ini apakah sudah berkurangnya </w:t>
      </w:r>
      <w:r w:rsidRPr="005D121F">
        <w:rPr>
          <w:i/>
          <w:szCs w:val="24"/>
          <w:lang w:eastAsia="ja-JP"/>
        </w:rPr>
        <w:t>tragedy of the commons</w:t>
      </w:r>
      <w:r w:rsidRPr="005D121F">
        <w:rPr>
          <w:szCs w:val="24"/>
          <w:lang w:eastAsia="ja-JP"/>
        </w:rPr>
        <w:t xml:space="preserve"> (</w:t>
      </w:r>
      <w:r w:rsidRPr="005D121F">
        <w:rPr>
          <w:szCs w:val="24"/>
          <w:lang w:val="id-ID"/>
        </w:rPr>
        <w:t>traged</w:t>
      </w:r>
      <w:r w:rsidR="006657CD">
        <w:rPr>
          <w:szCs w:val="24"/>
          <w:lang w:val="en-US"/>
        </w:rPr>
        <w:t>i</w:t>
      </w:r>
      <w:r w:rsidRPr="005D121F">
        <w:rPr>
          <w:szCs w:val="24"/>
          <w:lang w:val="id-ID"/>
        </w:rPr>
        <w:t xml:space="preserve"> kekayaan milik bersama</w:t>
      </w:r>
      <w:r w:rsidRPr="005D121F">
        <w:rPr>
          <w:szCs w:val="24"/>
        </w:rPr>
        <w:t>)</w:t>
      </w:r>
      <w:r w:rsidRPr="005D121F">
        <w:rPr>
          <w:szCs w:val="24"/>
          <w:lang w:eastAsia="ja-JP"/>
        </w:rPr>
        <w:t xml:space="preserve"> di antara aktor perumus kebijakan anggaran dalam pengalokasian belanja publik atau ada hal lain? S</w:t>
      </w:r>
      <w:r w:rsidRPr="005D121F">
        <w:rPr>
          <w:szCs w:val="24"/>
          <w:lang w:val="id-ID" w:eastAsia="ja-JP"/>
        </w:rPr>
        <w:t>ebuah interprestasi yang jelas dan tegas pada</w:t>
      </w:r>
      <w:r w:rsidRPr="005D121F">
        <w:rPr>
          <w:szCs w:val="24"/>
          <w:lang w:eastAsia="ja-JP"/>
        </w:rPr>
        <w:t xml:space="preserve"> </w:t>
      </w:r>
      <w:r w:rsidRPr="005D121F">
        <w:rPr>
          <w:szCs w:val="24"/>
          <w:lang w:val="id-ID" w:eastAsia="ja-JP"/>
        </w:rPr>
        <w:t xml:space="preserve">tahapan penyusunan dan pembahasan, dengan menganalisis </w:t>
      </w:r>
      <w:r w:rsidRPr="005D121F">
        <w:rPr>
          <w:szCs w:val="24"/>
        </w:rPr>
        <w:t>kebijakan dan manajemen belanja dalam penganggaran</w:t>
      </w:r>
      <w:r w:rsidRPr="005D121F">
        <w:rPr>
          <w:szCs w:val="24"/>
          <w:lang w:val="id-ID" w:eastAsia="ja-JP"/>
        </w:rPr>
        <w:t xml:space="preserve"> </w:t>
      </w:r>
      <w:r w:rsidRPr="005D121F">
        <w:rPr>
          <w:szCs w:val="24"/>
          <w:lang w:val="id-ID"/>
        </w:rPr>
        <w:t>pada tahun anggaran berjalan di Kota Solok</w:t>
      </w:r>
      <w:r w:rsidRPr="005D121F">
        <w:rPr>
          <w:szCs w:val="24"/>
        </w:rPr>
        <w:t xml:space="preserve"> akan dipaparkan dalam makalah ini</w:t>
      </w:r>
      <w:r w:rsidRPr="005D121F">
        <w:rPr>
          <w:szCs w:val="24"/>
          <w:lang w:val="id-ID"/>
        </w:rPr>
        <w:t>.</w:t>
      </w:r>
      <w:r w:rsidRPr="005D121F">
        <w:rPr>
          <w:szCs w:val="24"/>
        </w:rPr>
        <w:t xml:space="preserve"> </w:t>
      </w:r>
      <w:r w:rsidRPr="005D121F">
        <w:rPr>
          <w:szCs w:val="24"/>
          <w:lang w:val="id-ID" w:eastAsia="ja-JP"/>
        </w:rPr>
        <w:t>Penelitian</w:t>
      </w:r>
      <w:r w:rsidRPr="005D121F">
        <w:rPr>
          <w:szCs w:val="24"/>
          <w:lang w:eastAsia="ja-JP"/>
        </w:rPr>
        <w:t xml:space="preserve"> ini menggunakan </w:t>
      </w:r>
      <w:r w:rsidRPr="005D121F">
        <w:rPr>
          <w:szCs w:val="24"/>
          <w:lang w:val="id-ID" w:eastAsia="ja-JP"/>
        </w:rPr>
        <w:t>pendekatan kualitatif dengan mendeskripsikan semua fakta dan fenomena dalam penyusunan</w:t>
      </w:r>
      <w:r w:rsidRPr="005D121F">
        <w:rPr>
          <w:szCs w:val="24"/>
          <w:lang w:eastAsia="ja-JP"/>
        </w:rPr>
        <w:t xml:space="preserve"> </w:t>
      </w:r>
      <w:r w:rsidRPr="005D121F">
        <w:rPr>
          <w:szCs w:val="24"/>
          <w:lang w:val="id-ID" w:eastAsia="ja-JP"/>
        </w:rPr>
        <w:t>an</w:t>
      </w:r>
      <w:r w:rsidRPr="005D121F">
        <w:rPr>
          <w:szCs w:val="24"/>
          <w:lang w:eastAsia="ja-JP"/>
        </w:rPr>
        <w:t>g</w:t>
      </w:r>
      <w:r w:rsidRPr="005D121F">
        <w:rPr>
          <w:szCs w:val="24"/>
          <w:lang w:val="id-ID" w:eastAsia="ja-JP"/>
        </w:rPr>
        <w:t xml:space="preserve">garan, yang kemudian </w:t>
      </w:r>
      <w:r w:rsidRPr="005D121F">
        <w:rPr>
          <w:szCs w:val="24"/>
          <w:lang w:eastAsia="ja-JP"/>
        </w:rPr>
        <w:t>dilakukan</w:t>
      </w:r>
      <w:r w:rsidRPr="005D121F">
        <w:rPr>
          <w:szCs w:val="24"/>
          <w:lang w:val="id-ID" w:eastAsia="ja-JP"/>
        </w:rPr>
        <w:t xml:space="preserve"> analisis</w:t>
      </w:r>
      <w:r w:rsidRPr="005D121F">
        <w:rPr>
          <w:szCs w:val="24"/>
          <w:lang w:eastAsia="ja-JP"/>
        </w:rPr>
        <w:t xml:space="preserve"> terhadap data yang ditemukan</w:t>
      </w:r>
      <w:r w:rsidRPr="005D121F">
        <w:rPr>
          <w:szCs w:val="24"/>
          <w:lang w:val="id-ID" w:eastAsia="ja-JP"/>
        </w:rPr>
        <w:t xml:space="preserve">. </w:t>
      </w:r>
      <w:r w:rsidRPr="005D121F">
        <w:rPr>
          <w:szCs w:val="24"/>
          <w:lang w:eastAsia="ja-JP"/>
        </w:rPr>
        <w:t xml:space="preserve"> D</w:t>
      </w:r>
      <w:r w:rsidRPr="005D121F">
        <w:rPr>
          <w:szCs w:val="24"/>
          <w:lang w:val="sv-SE"/>
        </w:rPr>
        <w:t>engan  mendeskripsikan data yang diperoleh, lalu menela</w:t>
      </w:r>
      <w:r w:rsidRPr="005D121F">
        <w:rPr>
          <w:szCs w:val="24"/>
          <w:lang w:val="id-ID"/>
        </w:rPr>
        <w:t>a</w:t>
      </w:r>
      <w:r w:rsidRPr="005D121F">
        <w:rPr>
          <w:szCs w:val="24"/>
          <w:lang w:val="sv-SE"/>
        </w:rPr>
        <w:t>h seluruh data yang tersedia dari berbagai sumber, k</w:t>
      </w:r>
      <w:r w:rsidRPr="005D121F">
        <w:rPr>
          <w:szCs w:val="24"/>
          <w:lang w:val="id-ID"/>
        </w:rPr>
        <w:t xml:space="preserve">emudian </w:t>
      </w:r>
      <w:r w:rsidRPr="005D121F">
        <w:rPr>
          <w:szCs w:val="24"/>
          <w:lang w:val="sv-SE"/>
        </w:rPr>
        <w:t>data yang banyak tersebut juga direduksi dengan jalan membuat abstraksi sebagai sebuah rangkuman inti</w:t>
      </w:r>
      <w:r w:rsidRPr="005D121F">
        <w:rPr>
          <w:szCs w:val="24"/>
          <w:lang w:val="id-ID" w:eastAsia="ja-JP"/>
        </w:rPr>
        <w:t xml:space="preserve">. Sehingga dihasilkan kesimpulan yang bisa memberikan gambaran tentang </w:t>
      </w:r>
      <w:r w:rsidRPr="005D121F">
        <w:rPr>
          <w:szCs w:val="24"/>
          <w:lang w:eastAsia="ja-JP"/>
        </w:rPr>
        <w:t>manajemen belanja publik</w:t>
      </w:r>
      <w:r w:rsidRPr="005D121F">
        <w:rPr>
          <w:i/>
          <w:szCs w:val="24"/>
          <w:lang w:eastAsia="ja-JP"/>
        </w:rPr>
        <w:t xml:space="preserve"> </w:t>
      </w:r>
      <w:r w:rsidRPr="005D121F">
        <w:rPr>
          <w:szCs w:val="24"/>
          <w:lang w:eastAsia="ja-JP"/>
        </w:rPr>
        <w:t>pada APBD</w:t>
      </w:r>
      <w:r w:rsidRPr="005D121F">
        <w:rPr>
          <w:szCs w:val="24"/>
          <w:lang w:val="id-ID" w:eastAsia="ja-JP"/>
        </w:rPr>
        <w:t xml:space="preserve">. </w:t>
      </w:r>
    </w:p>
    <w:p w:rsidR="0099078E" w:rsidRPr="005D121F" w:rsidRDefault="0099078E" w:rsidP="0099078E">
      <w:pPr>
        <w:ind w:firstLine="720"/>
        <w:rPr>
          <w:szCs w:val="24"/>
          <w:lang w:val="id-ID" w:eastAsia="ja-JP"/>
        </w:rPr>
      </w:pPr>
    </w:p>
    <w:p w:rsidR="0024288D" w:rsidRPr="001523F1" w:rsidRDefault="0099078E" w:rsidP="0099078E">
      <w:pPr>
        <w:ind w:firstLine="0"/>
        <w:rPr>
          <w:szCs w:val="24"/>
        </w:rPr>
      </w:pPr>
      <w:r w:rsidRPr="005D121F">
        <w:rPr>
          <w:i/>
          <w:iCs/>
          <w:lang w:val="id-ID" w:eastAsia="ja-JP"/>
        </w:rPr>
        <w:t xml:space="preserve">Keyword: </w:t>
      </w:r>
      <w:r w:rsidRPr="005D121F">
        <w:rPr>
          <w:i/>
          <w:iCs/>
          <w:lang w:eastAsia="ja-JP"/>
        </w:rPr>
        <w:t>Penganggaran, Manajemen Belanja Publik, dan APBD</w:t>
      </w:r>
      <w:r w:rsidRPr="005D121F">
        <w:rPr>
          <w:i/>
          <w:iCs/>
          <w:lang w:val="id-ID" w:eastAsia="ja-JP"/>
        </w:rPr>
        <w:t>.</w:t>
      </w:r>
    </w:p>
    <w:p w:rsidR="0024288D" w:rsidRPr="00B0067E" w:rsidRDefault="0024288D" w:rsidP="0024288D">
      <w:pPr>
        <w:ind w:firstLine="0"/>
        <w:rPr>
          <w:sz w:val="22"/>
          <w:szCs w:val="22"/>
        </w:rPr>
      </w:pPr>
      <w:r>
        <w:lastRenderedPageBreak/>
        <w:t xml:space="preserve">Theme: </w:t>
      </w:r>
      <w:r w:rsidR="00B26397">
        <w:t>Harmony in Diversity: Building ASEAN Community 2015</w:t>
      </w:r>
    </w:p>
    <w:p w:rsidR="0024288D" w:rsidRDefault="0024288D" w:rsidP="0024288D"/>
    <w:p w:rsidR="0024288D" w:rsidRDefault="0099078E" w:rsidP="00280F7A">
      <w:pPr>
        <w:pStyle w:val="Heading1"/>
        <w:numPr>
          <w:ilvl w:val="0"/>
          <w:numId w:val="2"/>
        </w:numPr>
        <w:ind w:left="426" w:hanging="426"/>
        <w:rPr>
          <w:noProof w:val="0"/>
          <w:lang w:val="en-GB"/>
        </w:rPr>
      </w:pPr>
      <w:r>
        <w:rPr>
          <w:noProof w:val="0"/>
          <w:lang w:val="en-GB"/>
        </w:rPr>
        <w:t>PENDAHULUAN</w:t>
      </w:r>
    </w:p>
    <w:p w:rsidR="00B26397" w:rsidRDefault="00C040CB" w:rsidP="00B26397">
      <w:pPr>
        <w:pStyle w:val="NormalWeb"/>
        <w:ind w:firstLine="426"/>
        <w:jc w:val="both"/>
        <w:rPr>
          <w:color w:val="000000"/>
          <w:lang w:val="ms-MY"/>
        </w:rPr>
      </w:pPr>
      <w:r>
        <w:rPr>
          <w:color w:val="000000"/>
          <w:lang w:val="ms-MY"/>
        </w:rPr>
        <w:t xml:space="preserve">Anggaran merupakan </w:t>
      </w:r>
      <w:r w:rsidRPr="00801E6E">
        <w:rPr>
          <w:i/>
          <w:color w:val="000000"/>
          <w:lang w:val="ms-MY"/>
        </w:rPr>
        <w:t>managerial plan for action</w:t>
      </w:r>
      <w:r>
        <w:rPr>
          <w:color w:val="000000"/>
          <w:lang w:val="ms-MY"/>
        </w:rPr>
        <w:t xml:space="preserve"> untuk memfasilitasi tercapainya tujuan organisasi (Mardiasmo, 2009).  Anggaran merupakan artikulasi dari perumusan dan perencanaan strategis.  Begitu juga dalam organisasi sektor publik, anggaran menjadi rencana manajerial untuk menerapkan strategi organisasi untuk mencapai tujuan organisasi sektor publik, yaitu penyediaan pelayanan publik.  Penganggaran sektor publik terkait dengan proses penentuan jumlah alokasi dana untuk masing-masing program dan aktivitas dalam satuan moneter.  Dengan kata lain, tujuan organisasi dan anggarannya akan menjadi panduan dalam segala kegiatan yang akan dilakukan.  Suatu organisasi publik dapat dikatakan mempunyai kinerja yang baik jika segala kegiatannya berada dalam kerangka anggaran dan tujuan yang ditetapkan serta mampu mewujudkan strategi yang dimiliki. </w:t>
      </w:r>
    </w:p>
    <w:p w:rsidR="00B26397" w:rsidRDefault="00C040CB" w:rsidP="00B26397">
      <w:pPr>
        <w:pStyle w:val="NormalWeb"/>
        <w:ind w:firstLine="426"/>
        <w:jc w:val="both"/>
        <w:rPr>
          <w:color w:val="000000"/>
          <w:lang w:val="ms-MY"/>
        </w:rPr>
      </w:pPr>
      <w:r>
        <w:rPr>
          <w:color w:val="000000"/>
          <w:lang w:val="ms-MY"/>
        </w:rPr>
        <w:t>Anggaran dalam sektor publik sering kali juga disebut denga</w:t>
      </w:r>
      <w:r w:rsidR="00D71059">
        <w:rPr>
          <w:color w:val="000000"/>
          <w:lang w:val="ms-MY"/>
        </w:rPr>
        <w:t>n anggaran publik yang merujuk</w:t>
      </w:r>
      <w:r>
        <w:rPr>
          <w:color w:val="000000"/>
          <w:lang w:val="ms-MY"/>
        </w:rPr>
        <w:t xml:space="preserve"> pada anggaran pemerintah.  Anggaran publik berisi rencana kegiatan yang direpresentasikan dalam bentuk rencana perolehan pendapatan dan belanja dalam satuan moneter (Mardiasmo, 2009).  Keterkaitan keuangan negara dengan anggaran negara (pemerintah) memang sangat erat karena bertambah atau berkurangnya keuangan negara berdasarkan pelaksanaan anggaran negara sehingga pengurusan keuangan negara juga dilaksanakan pada pelaksanaan anggaran negara.  Anggaran negara atau anggaran pemerintah yang dimaksud adalah APBN atau pada level pemerintah daerah disebut APBD.  APBN dan APBD merupakan inti dari keuangan negara karena menginformasikan keuangan paling penting yang dihasilkan oleh pemerintah.  Oleh karena itu, kedudukan APBN dan APBD dalam keuangan negara atau pemerintah menjadi sangat penting (Halim, 200</w:t>
      </w:r>
      <w:r w:rsidR="00B26397">
        <w:rPr>
          <w:color w:val="000000"/>
          <w:lang w:val="ms-MY"/>
        </w:rPr>
        <w:t>7</w:t>
      </w:r>
      <w:r>
        <w:rPr>
          <w:color w:val="000000"/>
          <w:lang w:val="ms-MY"/>
        </w:rPr>
        <w:t xml:space="preserve">).  </w:t>
      </w:r>
    </w:p>
    <w:p w:rsidR="00C040CB" w:rsidRDefault="00C040CB" w:rsidP="00B26397">
      <w:pPr>
        <w:pStyle w:val="NormalWeb"/>
        <w:ind w:firstLine="426"/>
        <w:jc w:val="both"/>
        <w:rPr>
          <w:color w:val="000000"/>
          <w:lang w:val="ms-MY"/>
        </w:rPr>
      </w:pPr>
      <w:r>
        <w:rPr>
          <w:color w:val="000000"/>
          <w:lang w:val="ms-MY"/>
        </w:rPr>
        <w:t xml:space="preserve">Proses perencanaan dan penganggaran merupakan proses yang paling krusial dalam penyelenggaraan pemerintah daerah karena terkait dengan tujuan pemerintah daerah yang bercita-cita menyejahterakan rakyat di daerahnya.  </w:t>
      </w:r>
      <w:r>
        <w:rPr>
          <w:i/>
          <w:color w:val="000000"/>
          <w:lang w:val="ms-MY"/>
        </w:rPr>
        <w:t>Output</w:t>
      </w:r>
      <w:r>
        <w:rPr>
          <w:color w:val="000000"/>
          <w:lang w:val="ms-MY"/>
        </w:rPr>
        <w:t xml:space="preserve"> dari proses perencanaan yang terintegrasi dalam konteks pemerintah daerah adalah Anggaran Pendapatan dan Belanja Daerah (APBD).  Anggaran menurut Wildavsky dalam Prawoto (2011) merupakan (i) catatan masa lalu; (ii) rencana masa depan (iii) mekanisme pengalokasian sumber daya; (iv) metode untuk pertumbuhan; (v) alat penyaluran pendapatan; (vi) harapan-aspirasi-strategi organisasi; (vii) satu bentuk kekuatan kontrol; dan (viii) alat atau jaringan komunikasi.  Sedangkan APBD menurut Adisasmita (2011) suatu rencana operasional keuangan daerah, di satu pihak menggambarkan penerimaan daerah dan di lain pihak merupakan pengeluaran rutin dan pengeluaran pembangunan dalam satu tahun anggaran.  Dan, berdasarkan temuan data lapangan penelitian di Kota Solok pada penelitian sebelumnya, dapat dilihat tren dan perbandingan APBD sebagai berikut:</w:t>
      </w:r>
    </w:p>
    <w:p w:rsidR="004916AC" w:rsidRDefault="004916AC" w:rsidP="00C040CB">
      <w:pPr>
        <w:pStyle w:val="NoSpacing"/>
        <w:jc w:val="center"/>
        <w:rPr>
          <w:rFonts w:ascii="Times New Roman" w:hAnsi="Times New Roman" w:cs="Times New Roman"/>
          <w:b/>
          <w:sz w:val="24"/>
          <w:szCs w:val="24"/>
        </w:rPr>
      </w:pPr>
    </w:p>
    <w:p w:rsidR="004916AC" w:rsidRDefault="004916AC" w:rsidP="00C040CB">
      <w:pPr>
        <w:pStyle w:val="NoSpacing"/>
        <w:jc w:val="center"/>
        <w:rPr>
          <w:rFonts w:ascii="Times New Roman" w:hAnsi="Times New Roman" w:cs="Times New Roman"/>
          <w:b/>
          <w:sz w:val="24"/>
          <w:szCs w:val="24"/>
        </w:rPr>
      </w:pPr>
    </w:p>
    <w:p w:rsidR="004916AC" w:rsidRDefault="004916AC" w:rsidP="00C040CB">
      <w:pPr>
        <w:pStyle w:val="NoSpacing"/>
        <w:jc w:val="center"/>
        <w:rPr>
          <w:rFonts w:ascii="Times New Roman" w:hAnsi="Times New Roman" w:cs="Times New Roman"/>
          <w:b/>
          <w:sz w:val="24"/>
          <w:szCs w:val="24"/>
        </w:rPr>
      </w:pPr>
    </w:p>
    <w:p w:rsidR="004916AC" w:rsidRDefault="004916AC" w:rsidP="00C040CB">
      <w:pPr>
        <w:pStyle w:val="NoSpacing"/>
        <w:jc w:val="center"/>
        <w:rPr>
          <w:rFonts w:ascii="Times New Roman" w:hAnsi="Times New Roman" w:cs="Times New Roman"/>
          <w:b/>
          <w:sz w:val="24"/>
          <w:szCs w:val="24"/>
        </w:rPr>
      </w:pPr>
    </w:p>
    <w:p w:rsidR="00C040CB" w:rsidRDefault="00C040CB" w:rsidP="00C040C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Tabel 1 Perbandingan APBD 2010-2013</w:t>
      </w:r>
    </w:p>
    <w:p w:rsidR="004916AC" w:rsidRDefault="004916AC" w:rsidP="00C040CB">
      <w:pPr>
        <w:ind w:firstLine="720"/>
        <w:rPr>
          <w:color w:val="000000"/>
          <w:lang w:val="ms-MY"/>
        </w:rPr>
      </w:pPr>
    </w:p>
    <w:tbl>
      <w:tblPr>
        <w:tblStyle w:val="TableGrid"/>
        <w:tblW w:w="10692" w:type="dxa"/>
        <w:tblLayout w:type="fixed"/>
        <w:tblLook w:val="04A0" w:firstRow="1" w:lastRow="0" w:firstColumn="1" w:lastColumn="0" w:noHBand="0" w:noVBand="1"/>
      </w:tblPr>
      <w:tblGrid>
        <w:gridCol w:w="1458"/>
        <w:gridCol w:w="1591"/>
        <w:gridCol w:w="659"/>
        <w:gridCol w:w="1644"/>
        <w:gridCol w:w="696"/>
        <w:gridCol w:w="1621"/>
        <w:gridCol w:w="629"/>
        <w:gridCol w:w="1769"/>
        <w:gridCol w:w="625"/>
      </w:tblGrid>
      <w:tr w:rsidR="004916AC" w:rsidRPr="0045089A" w:rsidTr="00BB33F7">
        <w:tc>
          <w:tcPr>
            <w:tcW w:w="1458" w:type="dxa"/>
            <w:vMerge w:val="restart"/>
            <w:shd w:val="clear" w:color="auto" w:fill="F2F2F2" w:themeFill="background1" w:themeFillShade="F2"/>
            <w:vAlign w:val="center"/>
            <w:hideMark/>
          </w:tcPr>
          <w:p w:rsidR="004916AC" w:rsidRPr="0045089A" w:rsidRDefault="004916AC" w:rsidP="001450B2">
            <w:pPr>
              <w:pStyle w:val="NoSpacing"/>
              <w:jc w:val="center"/>
            </w:pPr>
            <w:r w:rsidRPr="0045089A">
              <w:t>Unsur</w:t>
            </w:r>
          </w:p>
        </w:tc>
        <w:tc>
          <w:tcPr>
            <w:tcW w:w="9234" w:type="dxa"/>
            <w:gridSpan w:val="8"/>
            <w:shd w:val="clear" w:color="auto" w:fill="F2F2F2" w:themeFill="background1" w:themeFillShade="F2"/>
            <w:hideMark/>
          </w:tcPr>
          <w:p w:rsidR="004916AC" w:rsidRPr="0045089A" w:rsidRDefault="004916AC" w:rsidP="001450B2">
            <w:pPr>
              <w:pStyle w:val="NoSpacing"/>
              <w:jc w:val="center"/>
            </w:pPr>
            <w:r w:rsidRPr="0045089A">
              <w:t>Tahun Perbandingan</w:t>
            </w:r>
          </w:p>
        </w:tc>
      </w:tr>
      <w:tr w:rsidR="004916AC" w:rsidRPr="0045089A" w:rsidTr="00BB33F7">
        <w:tc>
          <w:tcPr>
            <w:tcW w:w="1458" w:type="dxa"/>
            <w:vMerge/>
            <w:vAlign w:val="center"/>
            <w:hideMark/>
          </w:tcPr>
          <w:p w:rsidR="004916AC" w:rsidRPr="0045089A" w:rsidRDefault="004916AC" w:rsidP="001450B2">
            <w:pPr>
              <w:rPr>
                <w:sz w:val="20"/>
              </w:rPr>
            </w:pPr>
          </w:p>
        </w:tc>
        <w:tc>
          <w:tcPr>
            <w:tcW w:w="1591" w:type="dxa"/>
            <w:shd w:val="clear" w:color="auto" w:fill="F2F2F2" w:themeFill="background1" w:themeFillShade="F2"/>
            <w:hideMark/>
          </w:tcPr>
          <w:p w:rsidR="004916AC" w:rsidRPr="0045089A" w:rsidRDefault="004916AC" w:rsidP="001450B2">
            <w:pPr>
              <w:pStyle w:val="NoSpacing"/>
              <w:jc w:val="center"/>
            </w:pPr>
            <w:r w:rsidRPr="0045089A">
              <w:t>2010</w:t>
            </w:r>
          </w:p>
        </w:tc>
        <w:tc>
          <w:tcPr>
            <w:tcW w:w="659" w:type="dxa"/>
            <w:shd w:val="clear" w:color="auto" w:fill="F2F2F2" w:themeFill="background1" w:themeFillShade="F2"/>
            <w:hideMark/>
          </w:tcPr>
          <w:p w:rsidR="004916AC" w:rsidRPr="0045089A" w:rsidRDefault="004916AC" w:rsidP="001450B2">
            <w:pPr>
              <w:pStyle w:val="NoSpacing"/>
              <w:jc w:val="center"/>
            </w:pPr>
            <w:r w:rsidRPr="0045089A">
              <w:t>%</w:t>
            </w:r>
          </w:p>
        </w:tc>
        <w:tc>
          <w:tcPr>
            <w:tcW w:w="1644" w:type="dxa"/>
            <w:shd w:val="clear" w:color="auto" w:fill="F2F2F2" w:themeFill="background1" w:themeFillShade="F2"/>
            <w:hideMark/>
          </w:tcPr>
          <w:p w:rsidR="004916AC" w:rsidRPr="0045089A" w:rsidRDefault="004916AC" w:rsidP="001450B2">
            <w:pPr>
              <w:pStyle w:val="NoSpacing"/>
              <w:jc w:val="center"/>
            </w:pPr>
            <w:r w:rsidRPr="0045089A">
              <w:t>2011</w:t>
            </w:r>
          </w:p>
        </w:tc>
        <w:tc>
          <w:tcPr>
            <w:tcW w:w="696" w:type="dxa"/>
            <w:shd w:val="clear" w:color="auto" w:fill="F2F2F2" w:themeFill="background1" w:themeFillShade="F2"/>
            <w:hideMark/>
          </w:tcPr>
          <w:p w:rsidR="004916AC" w:rsidRPr="0045089A" w:rsidRDefault="004916AC" w:rsidP="001450B2">
            <w:pPr>
              <w:pStyle w:val="NoSpacing"/>
              <w:jc w:val="center"/>
            </w:pPr>
            <w:r w:rsidRPr="0045089A">
              <w:t>%</w:t>
            </w:r>
          </w:p>
        </w:tc>
        <w:tc>
          <w:tcPr>
            <w:tcW w:w="1621" w:type="dxa"/>
            <w:shd w:val="clear" w:color="auto" w:fill="F2F2F2" w:themeFill="background1" w:themeFillShade="F2"/>
            <w:hideMark/>
          </w:tcPr>
          <w:p w:rsidR="004916AC" w:rsidRPr="0045089A" w:rsidRDefault="004916AC" w:rsidP="001450B2">
            <w:pPr>
              <w:pStyle w:val="NoSpacing"/>
              <w:jc w:val="center"/>
            </w:pPr>
            <w:r w:rsidRPr="0045089A">
              <w:t>2012</w:t>
            </w:r>
          </w:p>
        </w:tc>
        <w:tc>
          <w:tcPr>
            <w:tcW w:w="629" w:type="dxa"/>
            <w:shd w:val="clear" w:color="auto" w:fill="F2F2F2" w:themeFill="background1" w:themeFillShade="F2"/>
            <w:hideMark/>
          </w:tcPr>
          <w:p w:rsidR="004916AC" w:rsidRPr="0045089A" w:rsidRDefault="004916AC" w:rsidP="001450B2">
            <w:pPr>
              <w:pStyle w:val="NoSpacing"/>
              <w:jc w:val="center"/>
            </w:pPr>
            <w:r w:rsidRPr="0045089A">
              <w:t>%</w:t>
            </w:r>
          </w:p>
        </w:tc>
        <w:tc>
          <w:tcPr>
            <w:tcW w:w="1769" w:type="dxa"/>
            <w:shd w:val="clear" w:color="auto" w:fill="F2F2F2" w:themeFill="background1" w:themeFillShade="F2"/>
            <w:hideMark/>
          </w:tcPr>
          <w:p w:rsidR="004916AC" w:rsidRPr="0045089A" w:rsidRDefault="004916AC" w:rsidP="001450B2">
            <w:pPr>
              <w:pStyle w:val="NoSpacing"/>
              <w:jc w:val="center"/>
            </w:pPr>
            <w:r w:rsidRPr="0045089A">
              <w:t>2013</w:t>
            </w:r>
          </w:p>
        </w:tc>
        <w:tc>
          <w:tcPr>
            <w:tcW w:w="625" w:type="dxa"/>
            <w:shd w:val="clear" w:color="auto" w:fill="F2F2F2" w:themeFill="background1" w:themeFillShade="F2"/>
            <w:hideMark/>
          </w:tcPr>
          <w:p w:rsidR="004916AC" w:rsidRPr="0045089A" w:rsidRDefault="004916AC" w:rsidP="001450B2">
            <w:pPr>
              <w:pStyle w:val="NoSpacing"/>
              <w:jc w:val="center"/>
            </w:pPr>
            <w:r w:rsidRPr="0045089A">
              <w:t>%</w:t>
            </w:r>
          </w:p>
        </w:tc>
      </w:tr>
      <w:tr w:rsidR="004916AC" w:rsidRPr="0045089A" w:rsidTr="00BB33F7">
        <w:tc>
          <w:tcPr>
            <w:tcW w:w="1458" w:type="dxa"/>
            <w:hideMark/>
          </w:tcPr>
          <w:p w:rsidR="004916AC" w:rsidRPr="0045089A" w:rsidRDefault="004916AC" w:rsidP="004916AC">
            <w:pPr>
              <w:ind w:firstLine="0"/>
              <w:rPr>
                <w:b/>
                <w:color w:val="222222"/>
                <w:sz w:val="20"/>
              </w:rPr>
            </w:pPr>
            <w:r w:rsidRPr="0045089A">
              <w:rPr>
                <w:b/>
                <w:color w:val="222222"/>
                <w:sz w:val="20"/>
              </w:rPr>
              <w:t>Total APBD</w:t>
            </w:r>
          </w:p>
        </w:tc>
        <w:tc>
          <w:tcPr>
            <w:tcW w:w="1591" w:type="dxa"/>
            <w:hideMark/>
          </w:tcPr>
          <w:p w:rsidR="004916AC" w:rsidRPr="0045089A" w:rsidRDefault="004916AC" w:rsidP="0062375F">
            <w:pPr>
              <w:ind w:firstLine="0"/>
              <w:jc w:val="right"/>
              <w:rPr>
                <w:color w:val="222222"/>
                <w:sz w:val="20"/>
              </w:rPr>
            </w:pPr>
            <w:r w:rsidRPr="0045089A">
              <w:rPr>
                <w:color w:val="000000"/>
                <w:sz w:val="20"/>
              </w:rPr>
              <w:t>633.402.913.703</w:t>
            </w:r>
          </w:p>
        </w:tc>
        <w:tc>
          <w:tcPr>
            <w:tcW w:w="659" w:type="dxa"/>
            <w:hideMark/>
          </w:tcPr>
          <w:p w:rsidR="004916AC" w:rsidRPr="0045089A" w:rsidRDefault="004916AC" w:rsidP="0062375F">
            <w:pPr>
              <w:ind w:firstLine="0"/>
              <w:jc w:val="center"/>
              <w:rPr>
                <w:color w:val="222222"/>
                <w:sz w:val="20"/>
              </w:rPr>
            </w:pPr>
            <w:r w:rsidRPr="0045089A">
              <w:rPr>
                <w:color w:val="222222"/>
                <w:sz w:val="20"/>
              </w:rPr>
              <w:t>1,2</w:t>
            </w:r>
          </w:p>
        </w:tc>
        <w:tc>
          <w:tcPr>
            <w:tcW w:w="1644" w:type="dxa"/>
            <w:hideMark/>
          </w:tcPr>
          <w:p w:rsidR="004916AC" w:rsidRPr="0045089A" w:rsidRDefault="004916AC" w:rsidP="0062375F">
            <w:pPr>
              <w:ind w:firstLine="0"/>
              <w:jc w:val="right"/>
              <w:rPr>
                <w:color w:val="222222"/>
                <w:sz w:val="20"/>
              </w:rPr>
            </w:pPr>
            <w:r w:rsidRPr="0045089A">
              <w:rPr>
                <w:color w:val="000000"/>
                <w:sz w:val="20"/>
              </w:rPr>
              <w:t>693.381.734.053</w:t>
            </w:r>
          </w:p>
        </w:tc>
        <w:tc>
          <w:tcPr>
            <w:tcW w:w="696" w:type="dxa"/>
            <w:hideMark/>
          </w:tcPr>
          <w:p w:rsidR="004916AC" w:rsidRPr="0045089A" w:rsidRDefault="004916AC" w:rsidP="0062375F">
            <w:pPr>
              <w:ind w:firstLine="0"/>
              <w:jc w:val="center"/>
              <w:rPr>
                <w:color w:val="222222"/>
                <w:sz w:val="20"/>
              </w:rPr>
            </w:pPr>
            <w:r w:rsidRPr="0045089A">
              <w:rPr>
                <w:color w:val="222222"/>
                <w:sz w:val="20"/>
              </w:rPr>
              <w:t>9,5</w:t>
            </w:r>
          </w:p>
        </w:tc>
        <w:tc>
          <w:tcPr>
            <w:tcW w:w="1621" w:type="dxa"/>
            <w:hideMark/>
          </w:tcPr>
          <w:p w:rsidR="004916AC" w:rsidRPr="0045089A" w:rsidRDefault="004916AC" w:rsidP="0062375F">
            <w:pPr>
              <w:ind w:firstLine="0"/>
              <w:jc w:val="right"/>
              <w:rPr>
                <w:color w:val="222222"/>
                <w:sz w:val="20"/>
              </w:rPr>
            </w:pPr>
            <w:r w:rsidRPr="0045089A">
              <w:rPr>
                <w:color w:val="222222"/>
                <w:sz w:val="20"/>
              </w:rPr>
              <w:t>783.865.797.081</w:t>
            </w:r>
          </w:p>
        </w:tc>
        <w:tc>
          <w:tcPr>
            <w:tcW w:w="629" w:type="dxa"/>
            <w:hideMark/>
          </w:tcPr>
          <w:p w:rsidR="004916AC" w:rsidRPr="0045089A" w:rsidRDefault="004916AC" w:rsidP="0062375F">
            <w:pPr>
              <w:ind w:firstLine="0"/>
              <w:jc w:val="center"/>
              <w:rPr>
                <w:color w:val="222222"/>
                <w:sz w:val="20"/>
              </w:rPr>
            </w:pPr>
            <w:r w:rsidRPr="0045089A">
              <w:rPr>
                <w:color w:val="222222"/>
                <w:sz w:val="20"/>
              </w:rPr>
              <w:t>3,1</w:t>
            </w:r>
          </w:p>
        </w:tc>
        <w:tc>
          <w:tcPr>
            <w:tcW w:w="1769" w:type="dxa"/>
            <w:hideMark/>
          </w:tcPr>
          <w:p w:rsidR="004916AC" w:rsidRPr="0045089A" w:rsidRDefault="004916AC" w:rsidP="0062375F">
            <w:pPr>
              <w:ind w:firstLine="0"/>
              <w:jc w:val="right"/>
              <w:rPr>
                <w:color w:val="222222"/>
                <w:sz w:val="20"/>
              </w:rPr>
            </w:pPr>
            <w:r w:rsidRPr="0045089A">
              <w:rPr>
                <w:color w:val="222222"/>
                <w:sz w:val="20"/>
              </w:rPr>
              <w:t>841.807.682.296</w:t>
            </w:r>
          </w:p>
        </w:tc>
        <w:tc>
          <w:tcPr>
            <w:tcW w:w="625" w:type="dxa"/>
            <w:hideMark/>
          </w:tcPr>
          <w:p w:rsidR="004916AC" w:rsidRPr="0045089A" w:rsidRDefault="004916AC" w:rsidP="0062375F">
            <w:pPr>
              <w:ind w:firstLine="0"/>
              <w:jc w:val="center"/>
              <w:rPr>
                <w:color w:val="222222"/>
                <w:sz w:val="20"/>
              </w:rPr>
            </w:pPr>
            <w:r w:rsidRPr="0045089A">
              <w:rPr>
                <w:color w:val="222222"/>
                <w:sz w:val="20"/>
              </w:rPr>
              <w:t>7</w:t>
            </w:r>
            <w:r w:rsidR="0062375F">
              <w:rPr>
                <w:color w:val="222222"/>
                <w:sz w:val="20"/>
              </w:rPr>
              <w:t>,4</w:t>
            </w:r>
          </w:p>
        </w:tc>
      </w:tr>
      <w:tr w:rsidR="004916AC" w:rsidRPr="0045089A" w:rsidTr="00BB33F7">
        <w:tc>
          <w:tcPr>
            <w:tcW w:w="1458" w:type="dxa"/>
            <w:hideMark/>
          </w:tcPr>
          <w:p w:rsidR="004916AC" w:rsidRPr="0045089A" w:rsidRDefault="004916AC" w:rsidP="004916AC">
            <w:pPr>
              <w:ind w:firstLine="0"/>
              <w:rPr>
                <w:color w:val="222222"/>
                <w:sz w:val="20"/>
              </w:rPr>
            </w:pPr>
            <w:r w:rsidRPr="0045089A">
              <w:rPr>
                <w:color w:val="222222"/>
                <w:sz w:val="20"/>
              </w:rPr>
              <w:t>PAD</w:t>
            </w:r>
          </w:p>
        </w:tc>
        <w:tc>
          <w:tcPr>
            <w:tcW w:w="1591" w:type="dxa"/>
            <w:hideMark/>
          </w:tcPr>
          <w:p w:rsidR="004916AC" w:rsidRPr="0045089A" w:rsidRDefault="004916AC" w:rsidP="0062375F">
            <w:pPr>
              <w:ind w:firstLine="0"/>
              <w:jc w:val="right"/>
              <w:rPr>
                <w:color w:val="000000"/>
                <w:sz w:val="20"/>
              </w:rPr>
            </w:pPr>
            <w:r w:rsidRPr="0045089A">
              <w:rPr>
                <w:color w:val="000000"/>
                <w:sz w:val="20"/>
              </w:rPr>
              <w:t>16.912.151.057</w:t>
            </w:r>
          </w:p>
        </w:tc>
        <w:tc>
          <w:tcPr>
            <w:tcW w:w="659" w:type="dxa"/>
            <w:hideMark/>
          </w:tcPr>
          <w:p w:rsidR="004916AC" w:rsidRPr="0045089A" w:rsidRDefault="004916AC" w:rsidP="0062375F">
            <w:pPr>
              <w:ind w:firstLine="0"/>
              <w:jc w:val="center"/>
              <w:rPr>
                <w:color w:val="000000"/>
                <w:sz w:val="20"/>
              </w:rPr>
            </w:pPr>
          </w:p>
        </w:tc>
        <w:tc>
          <w:tcPr>
            <w:tcW w:w="1644" w:type="dxa"/>
            <w:vAlign w:val="bottom"/>
            <w:hideMark/>
          </w:tcPr>
          <w:p w:rsidR="004916AC" w:rsidRPr="0045089A" w:rsidRDefault="004916AC" w:rsidP="0062375F">
            <w:pPr>
              <w:ind w:firstLine="0"/>
              <w:jc w:val="right"/>
              <w:rPr>
                <w:color w:val="000000"/>
                <w:sz w:val="20"/>
              </w:rPr>
            </w:pPr>
            <w:r w:rsidRPr="0045089A">
              <w:rPr>
                <w:color w:val="000000"/>
                <w:sz w:val="20"/>
              </w:rPr>
              <w:t>21.435.073.979</w:t>
            </w:r>
          </w:p>
        </w:tc>
        <w:tc>
          <w:tcPr>
            <w:tcW w:w="696" w:type="dxa"/>
            <w:hideMark/>
          </w:tcPr>
          <w:p w:rsidR="004916AC" w:rsidRPr="0045089A" w:rsidRDefault="004916AC" w:rsidP="0062375F">
            <w:pPr>
              <w:jc w:val="center"/>
              <w:rPr>
                <w:color w:val="000000"/>
                <w:sz w:val="20"/>
              </w:rPr>
            </w:pPr>
          </w:p>
        </w:tc>
        <w:tc>
          <w:tcPr>
            <w:tcW w:w="1621" w:type="dxa"/>
            <w:vAlign w:val="bottom"/>
            <w:hideMark/>
          </w:tcPr>
          <w:p w:rsidR="004916AC" w:rsidRPr="0045089A" w:rsidRDefault="004916AC" w:rsidP="0062375F">
            <w:pPr>
              <w:ind w:firstLine="0"/>
              <w:jc w:val="right"/>
              <w:rPr>
                <w:color w:val="000000"/>
                <w:sz w:val="20"/>
              </w:rPr>
            </w:pPr>
            <w:r w:rsidRPr="0045089A">
              <w:rPr>
                <w:color w:val="000000"/>
                <w:sz w:val="20"/>
              </w:rPr>
              <w:t>26.267.068.969</w:t>
            </w:r>
          </w:p>
        </w:tc>
        <w:tc>
          <w:tcPr>
            <w:tcW w:w="629" w:type="dxa"/>
          </w:tcPr>
          <w:p w:rsidR="004916AC" w:rsidRPr="0045089A" w:rsidRDefault="004916AC" w:rsidP="0062375F">
            <w:pPr>
              <w:jc w:val="center"/>
              <w:rPr>
                <w:color w:val="000000"/>
                <w:sz w:val="20"/>
              </w:rPr>
            </w:pPr>
          </w:p>
        </w:tc>
        <w:tc>
          <w:tcPr>
            <w:tcW w:w="1769" w:type="dxa"/>
            <w:vAlign w:val="bottom"/>
            <w:hideMark/>
          </w:tcPr>
          <w:p w:rsidR="004916AC" w:rsidRPr="0045089A" w:rsidRDefault="004916AC" w:rsidP="0062375F">
            <w:pPr>
              <w:ind w:firstLine="0"/>
              <w:jc w:val="right"/>
              <w:rPr>
                <w:color w:val="000000"/>
                <w:sz w:val="20"/>
              </w:rPr>
            </w:pPr>
            <w:r w:rsidRPr="0045089A">
              <w:rPr>
                <w:color w:val="000000"/>
                <w:sz w:val="20"/>
              </w:rPr>
              <w:t>30.188.760.987</w:t>
            </w:r>
          </w:p>
        </w:tc>
        <w:tc>
          <w:tcPr>
            <w:tcW w:w="625" w:type="dxa"/>
          </w:tcPr>
          <w:p w:rsidR="004916AC" w:rsidRPr="0045089A" w:rsidRDefault="004916AC" w:rsidP="0062375F">
            <w:pPr>
              <w:jc w:val="center"/>
              <w:rPr>
                <w:color w:val="000000"/>
                <w:sz w:val="20"/>
              </w:rPr>
            </w:pPr>
          </w:p>
        </w:tc>
      </w:tr>
      <w:tr w:rsidR="004916AC" w:rsidRPr="0045089A" w:rsidTr="00BB33F7">
        <w:tc>
          <w:tcPr>
            <w:tcW w:w="1458" w:type="dxa"/>
            <w:hideMark/>
          </w:tcPr>
          <w:p w:rsidR="004916AC" w:rsidRPr="0045089A" w:rsidRDefault="004916AC" w:rsidP="004916AC">
            <w:pPr>
              <w:ind w:firstLine="0"/>
              <w:rPr>
                <w:color w:val="222222"/>
                <w:sz w:val="20"/>
              </w:rPr>
            </w:pPr>
            <w:r w:rsidRPr="0045089A">
              <w:rPr>
                <w:color w:val="222222"/>
                <w:sz w:val="20"/>
              </w:rPr>
              <w:t>PAD/APBD</w:t>
            </w:r>
          </w:p>
        </w:tc>
        <w:tc>
          <w:tcPr>
            <w:tcW w:w="1591" w:type="dxa"/>
            <w:hideMark/>
          </w:tcPr>
          <w:p w:rsidR="004916AC" w:rsidRPr="0045089A" w:rsidRDefault="004916AC" w:rsidP="0062375F">
            <w:pPr>
              <w:jc w:val="right"/>
              <w:rPr>
                <w:color w:val="000000"/>
                <w:sz w:val="20"/>
              </w:rPr>
            </w:pPr>
            <w:r w:rsidRPr="0045089A">
              <w:rPr>
                <w:color w:val="000000"/>
                <w:sz w:val="20"/>
              </w:rPr>
              <w:t> </w:t>
            </w:r>
          </w:p>
        </w:tc>
        <w:tc>
          <w:tcPr>
            <w:tcW w:w="659" w:type="dxa"/>
            <w:hideMark/>
          </w:tcPr>
          <w:p w:rsidR="004916AC" w:rsidRPr="0045089A" w:rsidRDefault="004916AC" w:rsidP="0062375F">
            <w:pPr>
              <w:ind w:firstLine="0"/>
              <w:jc w:val="center"/>
              <w:rPr>
                <w:color w:val="000000"/>
                <w:sz w:val="20"/>
              </w:rPr>
            </w:pPr>
            <w:r w:rsidRPr="0045089A">
              <w:rPr>
                <w:color w:val="000000"/>
                <w:sz w:val="20"/>
              </w:rPr>
              <w:t>2,7</w:t>
            </w:r>
          </w:p>
        </w:tc>
        <w:tc>
          <w:tcPr>
            <w:tcW w:w="1644" w:type="dxa"/>
            <w:hideMark/>
          </w:tcPr>
          <w:p w:rsidR="004916AC" w:rsidRPr="0045089A" w:rsidRDefault="004916AC" w:rsidP="0062375F">
            <w:pPr>
              <w:jc w:val="right"/>
              <w:rPr>
                <w:color w:val="000000"/>
                <w:sz w:val="20"/>
              </w:rPr>
            </w:pPr>
            <w:r w:rsidRPr="0045089A">
              <w:rPr>
                <w:color w:val="000000"/>
                <w:sz w:val="20"/>
              </w:rPr>
              <w:t> </w:t>
            </w:r>
          </w:p>
        </w:tc>
        <w:tc>
          <w:tcPr>
            <w:tcW w:w="696" w:type="dxa"/>
            <w:hideMark/>
          </w:tcPr>
          <w:p w:rsidR="004916AC" w:rsidRPr="0045089A" w:rsidRDefault="004916AC" w:rsidP="0062375F">
            <w:pPr>
              <w:ind w:firstLine="0"/>
              <w:jc w:val="center"/>
              <w:rPr>
                <w:color w:val="000000"/>
                <w:sz w:val="20"/>
              </w:rPr>
            </w:pPr>
            <w:r w:rsidRPr="0045089A">
              <w:rPr>
                <w:color w:val="000000"/>
                <w:sz w:val="20"/>
              </w:rPr>
              <w:t>3,1</w:t>
            </w:r>
          </w:p>
        </w:tc>
        <w:tc>
          <w:tcPr>
            <w:tcW w:w="1621" w:type="dxa"/>
            <w:hideMark/>
          </w:tcPr>
          <w:p w:rsidR="004916AC" w:rsidRPr="0045089A" w:rsidRDefault="004916AC" w:rsidP="0062375F">
            <w:pPr>
              <w:jc w:val="right"/>
              <w:rPr>
                <w:color w:val="000000"/>
                <w:sz w:val="20"/>
              </w:rPr>
            </w:pPr>
          </w:p>
        </w:tc>
        <w:tc>
          <w:tcPr>
            <w:tcW w:w="629" w:type="dxa"/>
            <w:hideMark/>
          </w:tcPr>
          <w:p w:rsidR="004916AC" w:rsidRPr="0045089A" w:rsidRDefault="004916AC" w:rsidP="0062375F">
            <w:pPr>
              <w:ind w:firstLine="0"/>
              <w:jc w:val="center"/>
              <w:rPr>
                <w:color w:val="000000"/>
                <w:sz w:val="20"/>
              </w:rPr>
            </w:pPr>
            <w:r w:rsidRPr="0045089A">
              <w:rPr>
                <w:color w:val="000000"/>
                <w:sz w:val="20"/>
              </w:rPr>
              <w:t>3,4</w:t>
            </w:r>
          </w:p>
        </w:tc>
        <w:tc>
          <w:tcPr>
            <w:tcW w:w="1769" w:type="dxa"/>
          </w:tcPr>
          <w:p w:rsidR="004916AC" w:rsidRPr="0045089A" w:rsidRDefault="004916AC" w:rsidP="0062375F">
            <w:pPr>
              <w:jc w:val="right"/>
              <w:rPr>
                <w:color w:val="000000"/>
                <w:sz w:val="20"/>
              </w:rPr>
            </w:pPr>
          </w:p>
        </w:tc>
        <w:tc>
          <w:tcPr>
            <w:tcW w:w="625" w:type="dxa"/>
            <w:hideMark/>
          </w:tcPr>
          <w:p w:rsidR="004916AC" w:rsidRPr="0045089A" w:rsidRDefault="004916AC" w:rsidP="0062375F">
            <w:pPr>
              <w:ind w:firstLine="0"/>
              <w:jc w:val="center"/>
              <w:rPr>
                <w:color w:val="000000"/>
                <w:sz w:val="20"/>
              </w:rPr>
            </w:pPr>
            <w:r w:rsidRPr="0045089A">
              <w:rPr>
                <w:color w:val="000000"/>
                <w:sz w:val="20"/>
              </w:rPr>
              <w:t>3,6</w:t>
            </w:r>
          </w:p>
        </w:tc>
      </w:tr>
      <w:tr w:rsidR="004916AC" w:rsidRPr="0045089A" w:rsidTr="00BB33F7">
        <w:tc>
          <w:tcPr>
            <w:tcW w:w="1458" w:type="dxa"/>
            <w:hideMark/>
          </w:tcPr>
          <w:p w:rsidR="004916AC" w:rsidRPr="0045089A" w:rsidRDefault="004916AC" w:rsidP="004916AC">
            <w:pPr>
              <w:ind w:firstLine="0"/>
              <w:rPr>
                <w:color w:val="222222"/>
                <w:sz w:val="20"/>
              </w:rPr>
            </w:pPr>
            <w:r w:rsidRPr="0045089A">
              <w:rPr>
                <w:color w:val="222222"/>
                <w:sz w:val="20"/>
              </w:rPr>
              <w:t>Pajak/APBD</w:t>
            </w:r>
          </w:p>
        </w:tc>
        <w:tc>
          <w:tcPr>
            <w:tcW w:w="1591" w:type="dxa"/>
            <w:hideMark/>
          </w:tcPr>
          <w:p w:rsidR="004916AC" w:rsidRPr="0045089A" w:rsidRDefault="004916AC" w:rsidP="0062375F">
            <w:pPr>
              <w:ind w:firstLine="0"/>
              <w:jc w:val="right"/>
              <w:rPr>
                <w:color w:val="000000"/>
                <w:sz w:val="20"/>
              </w:rPr>
            </w:pPr>
            <w:r w:rsidRPr="0045089A">
              <w:rPr>
                <w:color w:val="000000"/>
                <w:sz w:val="20"/>
              </w:rPr>
              <w:t>1.464.217.852</w:t>
            </w:r>
          </w:p>
        </w:tc>
        <w:tc>
          <w:tcPr>
            <w:tcW w:w="659" w:type="dxa"/>
            <w:hideMark/>
          </w:tcPr>
          <w:p w:rsidR="004916AC" w:rsidRPr="0045089A" w:rsidRDefault="004916AC" w:rsidP="0062375F">
            <w:pPr>
              <w:ind w:firstLine="0"/>
              <w:jc w:val="center"/>
              <w:rPr>
                <w:color w:val="000000"/>
                <w:sz w:val="20"/>
              </w:rPr>
            </w:pPr>
            <w:r w:rsidRPr="0045089A">
              <w:rPr>
                <w:color w:val="000000"/>
                <w:sz w:val="20"/>
              </w:rPr>
              <w:t>0,2</w:t>
            </w:r>
          </w:p>
        </w:tc>
        <w:tc>
          <w:tcPr>
            <w:tcW w:w="1644" w:type="dxa"/>
            <w:vAlign w:val="bottom"/>
            <w:hideMark/>
          </w:tcPr>
          <w:p w:rsidR="004916AC" w:rsidRPr="0045089A" w:rsidRDefault="004916AC" w:rsidP="0062375F">
            <w:pPr>
              <w:ind w:firstLine="0"/>
              <w:jc w:val="right"/>
              <w:rPr>
                <w:color w:val="000000"/>
                <w:sz w:val="20"/>
              </w:rPr>
            </w:pPr>
            <w:r w:rsidRPr="0045089A">
              <w:rPr>
                <w:color w:val="000000"/>
                <w:sz w:val="20"/>
              </w:rPr>
              <w:t>1.841.129.500</w:t>
            </w:r>
          </w:p>
        </w:tc>
        <w:tc>
          <w:tcPr>
            <w:tcW w:w="696" w:type="dxa"/>
            <w:hideMark/>
          </w:tcPr>
          <w:p w:rsidR="004916AC" w:rsidRPr="0045089A" w:rsidRDefault="004916AC" w:rsidP="0062375F">
            <w:pPr>
              <w:ind w:firstLine="0"/>
              <w:jc w:val="center"/>
              <w:rPr>
                <w:color w:val="000000"/>
                <w:sz w:val="20"/>
              </w:rPr>
            </w:pPr>
            <w:r w:rsidRPr="0045089A">
              <w:rPr>
                <w:color w:val="000000"/>
                <w:sz w:val="20"/>
              </w:rPr>
              <w:t>0,5</w:t>
            </w:r>
          </w:p>
        </w:tc>
        <w:tc>
          <w:tcPr>
            <w:tcW w:w="1621" w:type="dxa"/>
            <w:vAlign w:val="bottom"/>
            <w:hideMark/>
          </w:tcPr>
          <w:p w:rsidR="004916AC" w:rsidRPr="0045089A" w:rsidRDefault="004916AC" w:rsidP="0062375F">
            <w:pPr>
              <w:ind w:firstLine="0"/>
              <w:jc w:val="right"/>
              <w:rPr>
                <w:color w:val="000000"/>
                <w:sz w:val="20"/>
              </w:rPr>
            </w:pPr>
            <w:r w:rsidRPr="0045089A">
              <w:rPr>
                <w:color w:val="000000"/>
                <w:sz w:val="20"/>
              </w:rPr>
              <w:t>2.845.790.000</w:t>
            </w:r>
          </w:p>
        </w:tc>
        <w:tc>
          <w:tcPr>
            <w:tcW w:w="629" w:type="dxa"/>
            <w:hideMark/>
          </w:tcPr>
          <w:p w:rsidR="004916AC" w:rsidRPr="0045089A" w:rsidRDefault="004916AC" w:rsidP="0062375F">
            <w:pPr>
              <w:ind w:firstLine="0"/>
              <w:jc w:val="center"/>
              <w:rPr>
                <w:color w:val="000000"/>
                <w:sz w:val="20"/>
              </w:rPr>
            </w:pPr>
            <w:r w:rsidRPr="0045089A">
              <w:rPr>
                <w:color w:val="000000"/>
                <w:sz w:val="20"/>
              </w:rPr>
              <w:t>0</w:t>
            </w:r>
            <w:r w:rsidR="0062375F">
              <w:rPr>
                <w:color w:val="000000"/>
                <w:sz w:val="20"/>
              </w:rPr>
              <w:t>,</w:t>
            </w:r>
            <w:r w:rsidRPr="0045089A">
              <w:rPr>
                <w:color w:val="000000"/>
                <w:sz w:val="20"/>
              </w:rPr>
              <w:t>4</w:t>
            </w:r>
          </w:p>
        </w:tc>
        <w:tc>
          <w:tcPr>
            <w:tcW w:w="1769" w:type="dxa"/>
            <w:vAlign w:val="bottom"/>
            <w:hideMark/>
          </w:tcPr>
          <w:p w:rsidR="004916AC" w:rsidRPr="0045089A" w:rsidRDefault="004916AC" w:rsidP="0062375F">
            <w:pPr>
              <w:jc w:val="right"/>
              <w:rPr>
                <w:color w:val="000000"/>
                <w:sz w:val="20"/>
              </w:rPr>
            </w:pPr>
          </w:p>
        </w:tc>
        <w:tc>
          <w:tcPr>
            <w:tcW w:w="625" w:type="dxa"/>
            <w:hideMark/>
          </w:tcPr>
          <w:p w:rsidR="004916AC" w:rsidRPr="0045089A" w:rsidRDefault="004916AC" w:rsidP="0062375F">
            <w:pPr>
              <w:ind w:firstLine="0"/>
              <w:jc w:val="center"/>
              <w:rPr>
                <w:color w:val="000000"/>
                <w:sz w:val="20"/>
              </w:rPr>
            </w:pPr>
            <w:r w:rsidRPr="0045089A">
              <w:rPr>
                <w:color w:val="000000"/>
                <w:sz w:val="20"/>
              </w:rPr>
              <w:t>0.4</w:t>
            </w:r>
          </w:p>
        </w:tc>
      </w:tr>
      <w:tr w:rsidR="004916AC" w:rsidRPr="0045089A" w:rsidTr="00BB33F7">
        <w:tc>
          <w:tcPr>
            <w:tcW w:w="1458" w:type="dxa"/>
            <w:hideMark/>
          </w:tcPr>
          <w:p w:rsidR="004916AC" w:rsidRPr="0045089A" w:rsidRDefault="004916AC" w:rsidP="004916AC">
            <w:pPr>
              <w:ind w:firstLine="0"/>
              <w:rPr>
                <w:b/>
                <w:color w:val="222222"/>
                <w:sz w:val="20"/>
              </w:rPr>
            </w:pPr>
            <w:r w:rsidRPr="0045089A">
              <w:rPr>
                <w:b/>
                <w:color w:val="222222"/>
                <w:sz w:val="20"/>
              </w:rPr>
              <w:t>Dana Perimbangan</w:t>
            </w:r>
          </w:p>
        </w:tc>
        <w:tc>
          <w:tcPr>
            <w:tcW w:w="1591" w:type="dxa"/>
            <w:hideMark/>
          </w:tcPr>
          <w:p w:rsidR="004916AC" w:rsidRPr="0045089A" w:rsidRDefault="004916AC" w:rsidP="0062375F">
            <w:pPr>
              <w:ind w:firstLine="0"/>
              <w:jc w:val="right"/>
              <w:rPr>
                <w:color w:val="000000"/>
                <w:sz w:val="20"/>
              </w:rPr>
            </w:pPr>
            <w:r w:rsidRPr="0045089A">
              <w:rPr>
                <w:color w:val="000000"/>
                <w:sz w:val="20"/>
              </w:rPr>
              <w:t>240.541.846.940</w:t>
            </w:r>
          </w:p>
        </w:tc>
        <w:tc>
          <w:tcPr>
            <w:tcW w:w="659" w:type="dxa"/>
            <w:hideMark/>
          </w:tcPr>
          <w:p w:rsidR="004916AC" w:rsidRPr="0045089A" w:rsidRDefault="0062375F" w:rsidP="0062375F">
            <w:pPr>
              <w:ind w:firstLine="0"/>
              <w:jc w:val="center"/>
              <w:rPr>
                <w:color w:val="000000"/>
                <w:sz w:val="20"/>
              </w:rPr>
            </w:pPr>
            <w:r>
              <w:rPr>
                <w:color w:val="000000"/>
                <w:sz w:val="20"/>
              </w:rPr>
              <w:t>37.9</w:t>
            </w:r>
          </w:p>
        </w:tc>
        <w:tc>
          <w:tcPr>
            <w:tcW w:w="1644" w:type="dxa"/>
            <w:vAlign w:val="bottom"/>
            <w:hideMark/>
          </w:tcPr>
          <w:p w:rsidR="004916AC" w:rsidRPr="0045089A" w:rsidRDefault="004916AC" w:rsidP="0062375F">
            <w:pPr>
              <w:ind w:firstLine="0"/>
              <w:jc w:val="right"/>
              <w:rPr>
                <w:color w:val="000000"/>
                <w:sz w:val="20"/>
              </w:rPr>
            </w:pPr>
            <w:r w:rsidRPr="0045089A">
              <w:rPr>
                <w:color w:val="000000"/>
                <w:sz w:val="20"/>
              </w:rPr>
              <w:t>269.305.504.894</w:t>
            </w:r>
          </w:p>
        </w:tc>
        <w:tc>
          <w:tcPr>
            <w:tcW w:w="696" w:type="dxa"/>
            <w:hideMark/>
          </w:tcPr>
          <w:p w:rsidR="004916AC" w:rsidRPr="0045089A" w:rsidRDefault="0062375F" w:rsidP="0062375F">
            <w:pPr>
              <w:ind w:firstLine="0"/>
              <w:jc w:val="center"/>
              <w:rPr>
                <w:color w:val="000000"/>
                <w:sz w:val="20"/>
              </w:rPr>
            </w:pPr>
            <w:r>
              <w:rPr>
                <w:color w:val="000000"/>
                <w:sz w:val="20"/>
              </w:rPr>
              <w:t>38.8</w:t>
            </w:r>
          </w:p>
        </w:tc>
        <w:tc>
          <w:tcPr>
            <w:tcW w:w="1621" w:type="dxa"/>
            <w:vAlign w:val="bottom"/>
            <w:hideMark/>
          </w:tcPr>
          <w:p w:rsidR="004916AC" w:rsidRPr="0045089A" w:rsidRDefault="004916AC" w:rsidP="0062375F">
            <w:pPr>
              <w:ind w:firstLine="0"/>
              <w:jc w:val="right"/>
              <w:rPr>
                <w:color w:val="000000"/>
                <w:sz w:val="20"/>
              </w:rPr>
            </w:pPr>
            <w:r w:rsidRPr="0045089A">
              <w:rPr>
                <w:color w:val="000000"/>
                <w:sz w:val="20"/>
              </w:rPr>
              <w:t>321.683.298.373</w:t>
            </w:r>
          </w:p>
        </w:tc>
        <w:tc>
          <w:tcPr>
            <w:tcW w:w="629" w:type="dxa"/>
            <w:hideMark/>
          </w:tcPr>
          <w:p w:rsidR="004916AC" w:rsidRPr="0045089A" w:rsidRDefault="004916AC" w:rsidP="0062375F">
            <w:pPr>
              <w:ind w:firstLine="0"/>
              <w:jc w:val="center"/>
              <w:rPr>
                <w:color w:val="000000"/>
                <w:sz w:val="20"/>
              </w:rPr>
            </w:pPr>
            <w:r w:rsidRPr="0045089A">
              <w:rPr>
                <w:color w:val="000000"/>
                <w:sz w:val="20"/>
              </w:rPr>
              <w:t>41</w:t>
            </w:r>
          </w:p>
        </w:tc>
        <w:tc>
          <w:tcPr>
            <w:tcW w:w="1769" w:type="dxa"/>
            <w:vAlign w:val="bottom"/>
            <w:hideMark/>
          </w:tcPr>
          <w:p w:rsidR="004916AC" w:rsidRPr="0045089A" w:rsidRDefault="004916AC" w:rsidP="0062375F">
            <w:pPr>
              <w:ind w:firstLine="0"/>
              <w:jc w:val="right"/>
              <w:rPr>
                <w:color w:val="000000"/>
                <w:sz w:val="20"/>
              </w:rPr>
            </w:pPr>
            <w:r w:rsidRPr="0045089A">
              <w:rPr>
                <w:color w:val="000000"/>
                <w:sz w:val="20"/>
              </w:rPr>
              <w:t>335.886.010.373</w:t>
            </w:r>
          </w:p>
        </w:tc>
        <w:tc>
          <w:tcPr>
            <w:tcW w:w="625" w:type="dxa"/>
            <w:hideMark/>
          </w:tcPr>
          <w:p w:rsidR="004916AC" w:rsidRPr="0045089A" w:rsidRDefault="004916AC" w:rsidP="0062375F">
            <w:pPr>
              <w:ind w:firstLine="0"/>
              <w:jc w:val="center"/>
              <w:rPr>
                <w:color w:val="000000"/>
                <w:sz w:val="20"/>
              </w:rPr>
            </w:pPr>
            <w:r w:rsidRPr="0045089A">
              <w:rPr>
                <w:color w:val="000000"/>
                <w:sz w:val="20"/>
              </w:rPr>
              <w:t>39.9</w:t>
            </w:r>
          </w:p>
        </w:tc>
      </w:tr>
      <w:tr w:rsidR="004916AC" w:rsidRPr="0045089A" w:rsidTr="00BB33F7">
        <w:tc>
          <w:tcPr>
            <w:tcW w:w="1458" w:type="dxa"/>
            <w:hideMark/>
          </w:tcPr>
          <w:p w:rsidR="004916AC" w:rsidRPr="0045089A" w:rsidRDefault="004916AC" w:rsidP="0045089A">
            <w:pPr>
              <w:ind w:firstLine="0"/>
              <w:rPr>
                <w:color w:val="222222"/>
                <w:sz w:val="20"/>
              </w:rPr>
            </w:pPr>
            <w:r w:rsidRPr="0045089A">
              <w:rPr>
                <w:color w:val="222222"/>
                <w:sz w:val="20"/>
              </w:rPr>
              <w:t>DAU/APBD</w:t>
            </w:r>
          </w:p>
        </w:tc>
        <w:tc>
          <w:tcPr>
            <w:tcW w:w="1591" w:type="dxa"/>
            <w:hideMark/>
          </w:tcPr>
          <w:p w:rsidR="004916AC" w:rsidRPr="0045089A" w:rsidRDefault="004916AC" w:rsidP="0062375F">
            <w:pPr>
              <w:ind w:firstLine="0"/>
              <w:jc w:val="right"/>
              <w:rPr>
                <w:color w:val="000000"/>
                <w:sz w:val="20"/>
              </w:rPr>
            </w:pPr>
            <w:r w:rsidRPr="0045089A">
              <w:rPr>
                <w:color w:val="000000"/>
                <w:sz w:val="20"/>
              </w:rPr>
              <w:t>210.134.688.000</w:t>
            </w:r>
          </w:p>
        </w:tc>
        <w:tc>
          <w:tcPr>
            <w:tcW w:w="659" w:type="dxa"/>
            <w:hideMark/>
          </w:tcPr>
          <w:p w:rsidR="004916AC" w:rsidRPr="0045089A" w:rsidRDefault="0062375F" w:rsidP="0062375F">
            <w:pPr>
              <w:ind w:firstLine="0"/>
              <w:jc w:val="center"/>
              <w:rPr>
                <w:color w:val="000000"/>
                <w:sz w:val="20"/>
              </w:rPr>
            </w:pPr>
            <w:r>
              <w:rPr>
                <w:color w:val="000000"/>
                <w:sz w:val="20"/>
              </w:rPr>
              <w:t>33.2</w:t>
            </w:r>
          </w:p>
        </w:tc>
        <w:tc>
          <w:tcPr>
            <w:tcW w:w="1644" w:type="dxa"/>
            <w:vAlign w:val="bottom"/>
            <w:hideMark/>
          </w:tcPr>
          <w:p w:rsidR="004916AC" w:rsidRPr="0045089A" w:rsidRDefault="004916AC" w:rsidP="0062375F">
            <w:pPr>
              <w:ind w:firstLine="0"/>
              <w:jc w:val="right"/>
              <w:rPr>
                <w:color w:val="000000"/>
                <w:sz w:val="20"/>
              </w:rPr>
            </w:pPr>
            <w:r w:rsidRPr="0045089A">
              <w:rPr>
                <w:color w:val="000000"/>
                <w:sz w:val="20"/>
              </w:rPr>
              <w:t>237.285.270.000</w:t>
            </w:r>
          </w:p>
        </w:tc>
        <w:tc>
          <w:tcPr>
            <w:tcW w:w="696" w:type="dxa"/>
            <w:hideMark/>
          </w:tcPr>
          <w:p w:rsidR="004916AC" w:rsidRPr="0045089A" w:rsidRDefault="0062375F" w:rsidP="0062375F">
            <w:pPr>
              <w:ind w:firstLine="0"/>
              <w:jc w:val="center"/>
              <w:rPr>
                <w:color w:val="000000"/>
                <w:sz w:val="20"/>
              </w:rPr>
            </w:pPr>
            <w:r>
              <w:rPr>
                <w:color w:val="000000"/>
                <w:sz w:val="20"/>
              </w:rPr>
              <w:t>34.2</w:t>
            </w:r>
          </w:p>
        </w:tc>
        <w:tc>
          <w:tcPr>
            <w:tcW w:w="1621" w:type="dxa"/>
            <w:vAlign w:val="bottom"/>
            <w:hideMark/>
          </w:tcPr>
          <w:p w:rsidR="004916AC" w:rsidRPr="0045089A" w:rsidRDefault="004916AC" w:rsidP="0062375F">
            <w:pPr>
              <w:ind w:firstLine="0"/>
              <w:jc w:val="right"/>
              <w:rPr>
                <w:color w:val="000000"/>
                <w:sz w:val="20"/>
              </w:rPr>
            </w:pPr>
            <w:r w:rsidRPr="0045089A">
              <w:rPr>
                <w:color w:val="000000"/>
                <w:sz w:val="20"/>
              </w:rPr>
              <w:t>280.495.627.000</w:t>
            </w:r>
          </w:p>
        </w:tc>
        <w:tc>
          <w:tcPr>
            <w:tcW w:w="629" w:type="dxa"/>
            <w:hideMark/>
          </w:tcPr>
          <w:p w:rsidR="004916AC" w:rsidRPr="0045089A" w:rsidRDefault="0062375F" w:rsidP="0062375F">
            <w:pPr>
              <w:ind w:firstLine="0"/>
              <w:jc w:val="center"/>
              <w:rPr>
                <w:color w:val="000000"/>
                <w:sz w:val="20"/>
              </w:rPr>
            </w:pPr>
            <w:r>
              <w:rPr>
                <w:color w:val="000000"/>
                <w:sz w:val="20"/>
              </w:rPr>
              <w:t>35,7</w:t>
            </w:r>
          </w:p>
        </w:tc>
        <w:tc>
          <w:tcPr>
            <w:tcW w:w="1769" w:type="dxa"/>
            <w:vAlign w:val="bottom"/>
            <w:hideMark/>
          </w:tcPr>
          <w:p w:rsidR="004916AC" w:rsidRPr="0045089A" w:rsidRDefault="004916AC" w:rsidP="0062375F">
            <w:pPr>
              <w:ind w:firstLine="0"/>
              <w:jc w:val="right"/>
              <w:rPr>
                <w:color w:val="000000"/>
                <w:sz w:val="20"/>
              </w:rPr>
            </w:pPr>
            <w:r w:rsidRPr="0045089A">
              <w:rPr>
                <w:color w:val="000000"/>
                <w:sz w:val="20"/>
              </w:rPr>
              <w:t>318.606.999.000</w:t>
            </w:r>
          </w:p>
        </w:tc>
        <w:tc>
          <w:tcPr>
            <w:tcW w:w="625" w:type="dxa"/>
            <w:hideMark/>
          </w:tcPr>
          <w:p w:rsidR="004916AC" w:rsidRPr="0045089A" w:rsidRDefault="0045089A" w:rsidP="0062375F">
            <w:pPr>
              <w:ind w:firstLine="0"/>
              <w:jc w:val="center"/>
              <w:rPr>
                <w:color w:val="000000"/>
                <w:sz w:val="20"/>
              </w:rPr>
            </w:pPr>
            <w:r w:rsidRPr="0045089A">
              <w:rPr>
                <w:color w:val="000000"/>
                <w:sz w:val="20"/>
              </w:rPr>
              <w:t>3</w:t>
            </w:r>
            <w:r w:rsidR="004916AC" w:rsidRPr="0045089A">
              <w:rPr>
                <w:color w:val="000000"/>
                <w:sz w:val="20"/>
              </w:rPr>
              <w:t>7</w:t>
            </w:r>
            <w:r w:rsidR="0062375F">
              <w:rPr>
                <w:color w:val="000000"/>
                <w:sz w:val="20"/>
              </w:rPr>
              <w:t>,9</w:t>
            </w:r>
          </w:p>
        </w:tc>
      </w:tr>
      <w:tr w:rsidR="004916AC" w:rsidRPr="0045089A" w:rsidTr="00BB33F7">
        <w:tc>
          <w:tcPr>
            <w:tcW w:w="1458" w:type="dxa"/>
            <w:hideMark/>
          </w:tcPr>
          <w:p w:rsidR="004916AC" w:rsidRPr="0045089A" w:rsidRDefault="004916AC" w:rsidP="0045089A">
            <w:pPr>
              <w:ind w:firstLine="0"/>
              <w:rPr>
                <w:color w:val="222222"/>
                <w:sz w:val="20"/>
              </w:rPr>
            </w:pPr>
            <w:r w:rsidRPr="0045089A">
              <w:rPr>
                <w:color w:val="222222"/>
                <w:sz w:val="20"/>
              </w:rPr>
              <w:t>DAK/APBD</w:t>
            </w:r>
          </w:p>
        </w:tc>
        <w:tc>
          <w:tcPr>
            <w:tcW w:w="1591" w:type="dxa"/>
            <w:hideMark/>
          </w:tcPr>
          <w:p w:rsidR="004916AC" w:rsidRPr="0045089A" w:rsidRDefault="004916AC" w:rsidP="0062375F">
            <w:pPr>
              <w:ind w:firstLine="0"/>
              <w:jc w:val="right"/>
              <w:rPr>
                <w:color w:val="000000"/>
                <w:sz w:val="20"/>
              </w:rPr>
            </w:pPr>
            <w:r w:rsidRPr="0045089A">
              <w:rPr>
                <w:color w:val="000000"/>
                <w:sz w:val="20"/>
              </w:rPr>
              <w:t>15.912.600.000</w:t>
            </w:r>
          </w:p>
        </w:tc>
        <w:tc>
          <w:tcPr>
            <w:tcW w:w="659" w:type="dxa"/>
            <w:hideMark/>
          </w:tcPr>
          <w:p w:rsidR="004916AC" w:rsidRPr="0045089A" w:rsidRDefault="004916AC" w:rsidP="0062375F">
            <w:pPr>
              <w:ind w:firstLine="0"/>
              <w:jc w:val="center"/>
              <w:rPr>
                <w:color w:val="000000"/>
                <w:sz w:val="20"/>
              </w:rPr>
            </w:pPr>
            <w:r w:rsidRPr="0045089A">
              <w:rPr>
                <w:color w:val="000000"/>
                <w:sz w:val="20"/>
              </w:rPr>
              <w:t>2.5</w:t>
            </w:r>
          </w:p>
        </w:tc>
        <w:tc>
          <w:tcPr>
            <w:tcW w:w="1644" w:type="dxa"/>
            <w:vAlign w:val="bottom"/>
            <w:hideMark/>
          </w:tcPr>
          <w:p w:rsidR="004916AC" w:rsidRPr="0045089A" w:rsidRDefault="004916AC" w:rsidP="0062375F">
            <w:pPr>
              <w:ind w:firstLine="0"/>
              <w:jc w:val="right"/>
              <w:rPr>
                <w:color w:val="000000"/>
                <w:sz w:val="20"/>
              </w:rPr>
            </w:pPr>
            <w:r w:rsidRPr="0045089A">
              <w:rPr>
                <w:color w:val="000000"/>
                <w:sz w:val="20"/>
              </w:rPr>
              <w:t>19.327.200.000</w:t>
            </w:r>
          </w:p>
        </w:tc>
        <w:tc>
          <w:tcPr>
            <w:tcW w:w="696" w:type="dxa"/>
            <w:hideMark/>
          </w:tcPr>
          <w:p w:rsidR="004916AC" w:rsidRPr="0045089A" w:rsidRDefault="004916AC" w:rsidP="0062375F">
            <w:pPr>
              <w:ind w:firstLine="0"/>
              <w:jc w:val="center"/>
              <w:rPr>
                <w:color w:val="000000"/>
                <w:sz w:val="20"/>
              </w:rPr>
            </w:pPr>
            <w:r w:rsidRPr="0045089A">
              <w:rPr>
                <w:color w:val="000000"/>
                <w:sz w:val="20"/>
              </w:rPr>
              <w:t>2.79</w:t>
            </w:r>
          </w:p>
        </w:tc>
        <w:tc>
          <w:tcPr>
            <w:tcW w:w="1621" w:type="dxa"/>
            <w:vAlign w:val="bottom"/>
            <w:hideMark/>
          </w:tcPr>
          <w:p w:rsidR="004916AC" w:rsidRPr="0045089A" w:rsidRDefault="004916AC" w:rsidP="0062375F">
            <w:pPr>
              <w:ind w:firstLine="0"/>
              <w:jc w:val="right"/>
              <w:rPr>
                <w:color w:val="000000"/>
                <w:sz w:val="20"/>
              </w:rPr>
            </w:pPr>
            <w:r w:rsidRPr="0045089A">
              <w:rPr>
                <w:color w:val="000000"/>
                <w:sz w:val="20"/>
              </w:rPr>
              <w:t>23.908.660.000</w:t>
            </w:r>
          </w:p>
        </w:tc>
        <w:tc>
          <w:tcPr>
            <w:tcW w:w="629" w:type="dxa"/>
            <w:hideMark/>
          </w:tcPr>
          <w:p w:rsidR="004916AC" w:rsidRPr="0045089A" w:rsidRDefault="004916AC" w:rsidP="0062375F">
            <w:pPr>
              <w:ind w:firstLine="0"/>
              <w:jc w:val="center"/>
              <w:rPr>
                <w:color w:val="000000"/>
                <w:sz w:val="20"/>
              </w:rPr>
            </w:pPr>
            <w:r w:rsidRPr="0045089A">
              <w:rPr>
                <w:color w:val="000000"/>
                <w:sz w:val="20"/>
              </w:rPr>
              <w:t>3</w:t>
            </w:r>
            <w:r w:rsidR="0062375F">
              <w:rPr>
                <w:color w:val="000000"/>
                <w:sz w:val="20"/>
              </w:rPr>
              <w:t>,1</w:t>
            </w:r>
          </w:p>
        </w:tc>
        <w:tc>
          <w:tcPr>
            <w:tcW w:w="1769" w:type="dxa"/>
            <w:vAlign w:val="bottom"/>
            <w:hideMark/>
          </w:tcPr>
          <w:p w:rsidR="004916AC" w:rsidRPr="0045089A" w:rsidRDefault="004916AC" w:rsidP="0062375F">
            <w:pPr>
              <w:ind w:firstLine="0"/>
              <w:jc w:val="right"/>
              <w:rPr>
                <w:color w:val="000000"/>
                <w:sz w:val="20"/>
              </w:rPr>
            </w:pPr>
            <w:r w:rsidRPr="0045089A">
              <w:rPr>
                <w:color w:val="000000"/>
                <w:sz w:val="20"/>
              </w:rPr>
              <w:t>0</w:t>
            </w:r>
          </w:p>
        </w:tc>
        <w:tc>
          <w:tcPr>
            <w:tcW w:w="625" w:type="dxa"/>
            <w:hideMark/>
          </w:tcPr>
          <w:p w:rsidR="004916AC" w:rsidRPr="0045089A" w:rsidRDefault="0045089A" w:rsidP="0062375F">
            <w:pPr>
              <w:ind w:firstLine="0"/>
              <w:jc w:val="center"/>
              <w:rPr>
                <w:color w:val="000000"/>
                <w:sz w:val="20"/>
              </w:rPr>
            </w:pPr>
            <w:r w:rsidRPr="0045089A">
              <w:rPr>
                <w:color w:val="000000"/>
                <w:sz w:val="20"/>
              </w:rPr>
              <w:t>0</w:t>
            </w:r>
          </w:p>
        </w:tc>
      </w:tr>
      <w:tr w:rsidR="004916AC" w:rsidRPr="0045089A" w:rsidTr="00BB33F7">
        <w:tc>
          <w:tcPr>
            <w:tcW w:w="1458" w:type="dxa"/>
            <w:hideMark/>
          </w:tcPr>
          <w:p w:rsidR="004916AC" w:rsidRPr="0045089A" w:rsidRDefault="004916AC" w:rsidP="0045089A">
            <w:pPr>
              <w:ind w:firstLine="0"/>
              <w:rPr>
                <w:color w:val="222222"/>
                <w:sz w:val="20"/>
              </w:rPr>
            </w:pPr>
            <w:r w:rsidRPr="0045089A">
              <w:rPr>
                <w:color w:val="222222"/>
                <w:sz w:val="20"/>
              </w:rPr>
              <w:t>DBHP/bukan DBHP</w:t>
            </w:r>
          </w:p>
        </w:tc>
        <w:tc>
          <w:tcPr>
            <w:tcW w:w="1591" w:type="dxa"/>
            <w:hideMark/>
          </w:tcPr>
          <w:p w:rsidR="004916AC" w:rsidRPr="0045089A" w:rsidRDefault="004916AC" w:rsidP="0062375F">
            <w:pPr>
              <w:ind w:firstLine="0"/>
              <w:jc w:val="right"/>
              <w:rPr>
                <w:color w:val="000000"/>
                <w:sz w:val="20"/>
              </w:rPr>
            </w:pPr>
            <w:r w:rsidRPr="0045089A">
              <w:rPr>
                <w:color w:val="000000"/>
                <w:sz w:val="20"/>
              </w:rPr>
              <w:t>14.494.558.940</w:t>
            </w:r>
          </w:p>
        </w:tc>
        <w:tc>
          <w:tcPr>
            <w:tcW w:w="659" w:type="dxa"/>
            <w:hideMark/>
          </w:tcPr>
          <w:p w:rsidR="004916AC" w:rsidRPr="0045089A" w:rsidRDefault="004916AC" w:rsidP="0062375F">
            <w:pPr>
              <w:ind w:firstLine="0"/>
              <w:jc w:val="center"/>
              <w:rPr>
                <w:color w:val="000000"/>
                <w:sz w:val="20"/>
              </w:rPr>
            </w:pPr>
            <w:r w:rsidRPr="0045089A">
              <w:rPr>
                <w:color w:val="000000"/>
                <w:sz w:val="20"/>
              </w:rPr>
              <w:t>2.2</w:t>
            </w:r>
          </w:p>
        </w:tc>
        <w:tc>
          <w:tcPr>
            <w:tcW w:w="1644" w:type="dxa"/>
            <w:vAlign w:val="bottom"/>
            <w:hideMark/>
          </w:tcPr>
          <w:p w:rsidR="004916AC" w:rsidRPr="0045089A" w:rsidRDefault="004916AC" w:rsidP="0062375F">
            <w:pPr>
              <w:ind w:firstLine="0"/>
              <w:rPr>
                <w:color w:val="000000"/>
                <w:sz w:val="20"/>
              </w:rPr>
            </w:pPr>
            <w:r w:rsidRPr="0045089A">
              <w:rPr>
                <w:color w:val="000000"/>
                <w:sz w:val="20"/>
              </w:rPr>
              <w:t>12.693.034.894</w:t>
            </w:r>
          </w:p>
        </w:tc>
        <w:tc>
          <w:tcPr>
            <w:tcW w:w="696" w:type="dxa"/>
            <w:hideMark/>
          </w:tcPr>
          <w:p w:rsidR="004916AC" w:rsidRPr="0045089A" w:rsidRDefault="004916AC" w:rsidP="0062375F">
            <w:pPr>
              <w:ind w:firstLine="0"/>
              <w:jc w:val="center"/>
              <w:rPr>
                <w:color w:val="000000"/>
                <w:sz w:val="20"/>
              </w:rPr>
            </w:pPr>
            <w:r w:rsidRPr="0045089A">
              <w:rPr>
                <w:color w:val="000000"/>
                <w:sz w:val="20"/>
              </w:rPr>
              <w:t>1.83</w:t>
            </w:r>
          </w:p>
        </w:tc>
        <w:tc>
          <w:tcPr>
            <w:tcW w:w="1621" w:type="dxa"/>
            <w:vAlign w:val="bottom"/>
            <w:hideMark/>
          </w:tcPr>
          <w:p w:rsidR="004916AC" w:rsidRPr="0045089A" w:rsidRDefault="004916AC" w:rsidP="0062375F">
            <w:pPr>
              <w:ind w:firstLine="0"/>
              <w:rPr>
                <w:color w:val="000000"/>
                <w:sz w:val="20"/>
              </w:rPr>
            </w:pPr>
            <w:r w:rsidRPr="0045089A">
              <w:rPr>
                <w:color w:val="000000"/>
                <w:sz w:val="20"/>
              </w:rPr>
              <w:t>17.279.011.373</w:t>
            </w:r>
          </w:p>
        </w:tc>
        <w:tc>
          <w:tcPr>
            <w:tcW w:w="629" w:type="dxa"/>
            <w:hideMark/>
          </w:tcPr>
          <w:p w:rsidR="004916AC" w:rsidRPr="0045089A" w:rsidRDefault="004916AC" w:rsidP="0062375F">
            <w:pPr>
              <w:ind w:firstLine="0"/>
              <w:jc w:val="center"/>
              <w:rPr>
                <w:color w:val="000000"/>
                <w:sz w:val="20"/>
              </w:rPr>
            </w:pPr>
            <w:r w:rsidRPr="0045089A">
              <w:rPr>
                <w:color w:val="000000"/>
                <w:sz w:val="20"/>
              </w:rPr>
              <w:t>2</w:t>
            </w:r>
            <w:r w:rsidR="0062375F">
              <w:rPr>
                <w:color w:val="000000"/>
                <w:sz w:val="20"/>
              </w:rPr>
              <w:t>,</w:t>
            </w:r>
            <w:r w:rsidRPr="0045089A">
              <w:rPr>
                <w:color w:val="000000"/>
                <w:sz w:val="20"/>
              </w:rPr>
              <w:t>2</w:t>
            </w:r>
          </w:p>
        </w:tc>
        <w:tc>
          <w:tcPr>
            <w:tcW w:w="1769" w:type="dxa"/>
            <w:vAlign w:val="bottom"/>
            <w:hideMark/>
          </w:tcPr>
          <w:p w:rsidR="004916AC" w:rsidRPr="0045089A" w:rsidRDefault="004916AC" w:rsidP="0062375F">
            <w:pPr>
              <w:ind w:firstLine="0"/>
              <w:jc w:val="center"/>
              <w:rPr>
                <w:color w:val="000000"/>
                <w:sz w:val="20"/>
              </w:rPr>
            </w:pPr>
            <w:r w:rsidRPr="0045089A">
              <w:rPr>
                <w:color w:val="000000"/>
                <w:sz w:val="20"/>
              </w:rPr>
              <w:t>17.279.011.373</w:t>
            </w:r>
          </w:p>
        </w:tc>
        <w:tc>
          <w:tcPr>
            <w:tcW w:w="625" w:type="dxa"/>
            <w:hideMark/>
          </w:tcPr>
          <w:p w:rsidR="004916AC" w:rsidRPr="0045089A" w:rsidRDefault="004916AC" w:rsidP="0062375F">
            <w:pPr>
              <w:ind w:firstLine="0"/>
              <w:jc w:val="center"/>
              <w:rPr>
                <w:color w:val="000000"/>
                <w:sz w:val="20"/>
              </w:rPr>
            </w:pPr>
            <w:r w:rsidRPr="0045089A">
              <w:rPr>
                <w:color w:val="000000"/>
                <w:sz w:val="20"/>
              </w:rPr>
              <w:t>2</w:t>
            </w:r>
            <w:r w:rsidR="0062375F">
              <w:rPr>
                <w:color w:val="000000"/>
                <w:sz w:val="20"/>
              </w:rPr>
              <w:t>,1</w:t>
            </w:r>
          </w:p>
        </w:tc>
      </w:tr>
    </w:tbl>
    <w:p w:rsidR="00C040CB" w:rsidRPr="00ED6BDB" w:rsidRDefault="00C040CB" w:rsidP="0045089A">
      <w:pPr>
        <w:ind w:firstLine="0"/>
        <w:rPr>
          <w:color w:val="000000"/>
          <w:lang w:val="ms-MY"/>
        </w:rPr>
      </w:pPr>
      <w:r w:rsidRPr="00ED6BDB">
        <w:rPr>
          <w:color w:val="000000"/>
          <w:lang w:val="ms-MY"/>
        </w:rPr>
        <w:t>Sumber: Laporan Tahunan Penelitian Hendri Koeswara &amp; Roza Liesmana (2013)</w:t>
      </w:r>
    </w:p>
    <w:p w:rsidR="00BB33F7" w:rsidRDefault="00C040CB" w:rsidP="00BB33F7">
      <w:pPr>
        <w:pStyle w:val="NormalWeb"/>
        <w:ind w:firstLine="720"/>
        <w:jc w:val="both"/>
        <w:rPr>
          <w:lang w:eastAsia="id-ID"/>
        </w:rPr>
      </w:pPr>
      <w:r>
        <w:rPr>
          <w:color w:val="222222"/>
        </w:rPr>
        <w:t xml:space="preserve">Hasil penelitian sebelumnya menunjukkan bahwa, total APBD Kota Solok dari Tahun 2010-2013 selalu menunjukkan tren yang meningkat.  Penelitian sebelumnya menemukan hanya pada Tahun 2010 saja total APBD Kota Solok menurun, yaitu sebesar Rp. 633.402.913.708,- turun 1,2% dibandingkan dengan Tahun Anggaran sebelumnya.  Tapi, setelah Tahun Anggaran 2010 APBD Kota Solok selalu menunjukkan tren peningkatan terutama pada Tahun Anggaran 2012 sebesar 13,1% atau sebesar Rp. 783.865.797.081.  Tren positif kenaikan APBD dari sisi perencanaan juga terjadi pada Tahun Anggaran 2013, dimana APBD Kota Solok menjadi Rp. 841.807.682.296 atau naik sebesar 7,39%. </w:t>
      </w:r>
      <w:r>
        <w:rPr>
          <w:lang w:eastAsia="id-ID"/>
        </w:rPr>
        <w:t xml:space="preserve">Jika dilihat dari belanja pelayanan publik, peningkatan total APBD tersebut tidak diiringi dengan kemampuan manajemen belanja </w:t>
      </w:r>
      <w:r w:rsidR="001E1A19">
        <w:rPr>
          <w:lang w:eastAsia="id-ID"/>
        </w:rPr>
        <w:t xml:space="preserve">publik di </w:t>
      </w:r>
      <w:r>
        <w:rPr>
          <w:lang w:eastAsia="id-ID"/>
        </w:rPr>
        <w:t xml:space="preserve">Pemerintah Kota Solok.  Belanja publik selalu fluktuatif.  </w:t>
      </w:r>
      <w:r w:rsidRPr="00937BAA">
        <w:rPr>
          <w:lang w:val="sv-SE"/>
        </w:rPr>
        <w:t>Padahal dari sisi angga</w:t>
      </w:r>
      <w:r w:rsidR="00242DD3">
        <w:rPr>
          <w:lang w:val="sv-SE"/>
        </w:rPr>
        <w:t xml:space="preserve">ran, idealnya belanja </w:t>
      </w:r>
      <w:r w:rsidRPr="00937BAA">
        <w:rPr>
          <w:lang w:val="sv-SE"/>
        </w:rPr>
        <w:t>publik tidak sepatutnya terjadi fluktuatif</w:t>
      </w:r>
      <w:r w:rsidR="001E1A19">
        <w:rPr>
          <w:lang w:val="sv-SE"/>
        </w:rPr>
        <w:t xml:space="preserve"> dan alokasi serta komposisi anggaran semakin ideal</w:t>
      </w:r>
      <w:r w:rsidR="00242DD3">
        <w:rPr>
          <w:lang w:val="sv-SE"/>
        </w:rPr>
        <w:t xml:space="preserve"> hendaknya</w:t>
      </w:r>
      <w:r w:rsidR="001E1A19">
        <w:rPr>
          <w:lang w:val="sv-SE"/>
        </w:rPr>
        <w:t>. T</w:t>
      </w:r>
      <w:r w:rsidRPr="00937BAA">
        <w:rPr>
          <w:lang w:val="sv-SE"/>
        </w:rPr>
        <w:t xml:space="preserve">ren </w:t>
      </w:r>
      <w:r w:rsidR="001E1A19">
        <w:rPr>
          <w:lang w:val="sv-SE"/>
        </w:rPr>
        <w:t xml:space="preserve">peningkatan </w:t>
      </w:r>
      <w:r w:rsidRPr="00937BAA">
        <w:rPr>
          <w:lang w:val="sv-SE"/>
        </w:rPr>
        <w:t>semestinya selalu</w:t>
      </w:r>
      <w:r w:rsidR="001E1A19">
        <w:rPr>
          <w:lang w:val="sv-SE"/>
        </w:rPr>
        <w:t xml:space="preserve"> menjadi acuan</w:t>
      </w:r>
      <w:r w:rsidRPr="00937BAA">
        <w:rPr>
          <w:lang w:val="sv-SE"/>
        </w:rPr>
        <w:t xml:space="preserve"> sehingga amanat UU desentralisasi tidak terciderai dan aktor anggaran tidak melanggar komitmennya untuk selalu </w:t>
      </w:r>
      <w:r>
        <w:rPr>
          <w:lang w:val="sv-SE"/>
        </w:rPr>
        <w:t xml:space="preserve">mengemban amanah dan </w:t>
      </w:r>
      <w:r w:rsidRPr="00937BAA">
        <w:rPr>
          <w:lang w:val="sv-SE"/>
        </w:rPr>
        <w:t>membela kepentingan publik</w:t>
      </w:r>
      <w:r>
        <w:rPr>
          <w:lang w:val="sv-SE"/>
        </w:rPr>
        <w:t>, s</w:t>
      </w:r>
      <w:r w:rsidRPr="00937BAA">
        <w:rPr>
          <w:lang w:val="sv-SE"/>
        </w:rPr>
        <w:t>ebagaimana yan</w:t>
      </w:r>
      <w:r w:rsidR="001E1A19">
        <w:rPr>
          <w:lang w:val="sv-SE"/>
        </w:rPr>
        <w:t>g diungkapkan oleh Halim (2007</w:t>
      </w:r>
      <w:r w:rsidRPr="00937BAA">
        <w:rPr>
          <w:lang w:val="sv-SE"/>
        </w:rPr>
        <w:t>) bahwa proses anggaran yang telah disepakati antara pemerintah daerah dengan DPRD merupakan amanat rakyat</w:t>
      </w:r>
      <w:r>
        <w:rPr>
          <w:lang w:val="sv-SE"/>
        </w:rPr>
        <w:t xml:space="preserve">.  </w:t>
      </w:r>
      <w:r>
        <w:rPr>
          <w:lang w:eastAsia="id-ID"/>
        </w:rPr>
        <w:t xml:space="preserve">Temuan di lapangan menunjukkan bahwa dari tren total belanja APBD Kota Solok, belanja tidak langsung selalu lebih besar dari belanja langsung, alokasi sebesar 42% pada Tahun 2008, 51% pada 2009 dan mencapai puncak tertinggi 55% pada 2010, lalu turun 53% pada 2011, kembali turun menjadi 50% di 2012, dan  naik kembali pada 2013 menjadi 53%.  Sementara belanja langsung trennya selalu menurun, padahal di Tahun 2008 persentasenya cukup baik yaitu sebesar 58%, tapi prestasi ini tidak dapat dipertahankan pada tahun-tahun anggaran selanjutnya.  Seperti pada Tahun Anggaran 2009 hanya 49%, di Tahun Anggaran 2010 sebesar 45%, lalu meningkat sedikit menjadi 47% di 2011, naik lagi sebesar 50% di 2012, tapi kembali turun menjadi 47% di Tahun Anggaran 2013 ini.  Sedangkan jumlah belanja pegawai dari belanja langsung dan tidak langsung trennya selalu meningkat; yaitu 41 % di tahun 2008 51% pada tahun 2009, tetap di 51% pada 2010, turun menjadi 48% di 2011, lalu kembali naik di 2012 dan 2013 masing-masing sebesar 51% dan 53%.  </w:t>
      </w:r>
    </w:p>
    <w:p w:rsidR="000534FB" w:rsidRPr="00BB33F7" w:rsidRDefault="00C040CB" w:rsidP="00BB33F7">
      <w:pPr>
        <w:pStyle w:val="NormalWeb"/>
        <w:ind w:firstLine="720"/>
        <w:jc w:val="both"/>
        <w:rPr>
          <w:color w:val="222222"/>
        </w:rPr>
      </w:pPr>
      <w:r>
        <w:rPr>
          <w:lang w:eastAsia="id-ID"/>
        </w:rPr>
        <w:t>Hal ini menunjukkan bahwa ada solusi sebetulnya untuk menekan meningkatnya tren belanja pegawai.  Terjadinya fragmentasi sebagaimana yang diungkapkan oleh Lee, Joyce</w:t>
      </w:r>
      <w:r w:rsidR="001E1A19">
        <w:rPr>
          <w:lang w:eastAsia="id-ID"/>
        </w:rPr>
        <w:t xml:space="preserve"> </w:t>
      </w:r>
      <w:r>
        <w:rPr>
          <w:lang w:eastAsia="id-ID"/>
        </w:rPr>
        <w:t xml:space="preserve">&amp; Johnson (2013) bahwa </w:t>
      </w:r>
      <w:r w:rsidRPr="00F32E9E">
        <w:rPr>
          <w:i/>
          <w:lang w:eastAsia="id-ID"/>
        </w:rPr>
        <w:t xml:space="preserve">organizational units within line agencies tend to be concerned primarily </w:t>
      </w:r>
      <w:r w:rsidRPr="00F32E9E">
        <w:rPr>
          <w:i/>
          <w:lang w:eastAsia="id-ID"/>
        </w:rPr>
        <w:lastRenderedPageBreak/>
        <w:t>with their own promgrams and frequently fail to take a broad perspective</w:t>
      </w:r>
      <w:r>
        <w:rPr>
          <w:i/>
          <w:lang w:eastAsia="id-ID"/>
        </w:rPr>
        <w:t xml:space="preserve">, </w:t>
      </w:r>
      <w:r>
        <w:rPr>
          <w:lang w:eastAsia="id-ID"/>
        </w:rPr>
        <w:t>merupakan keniscayaan bahwa organisasi publik terlalu larut untuk memperjuangkan apa yang menjadi kepentingannya dalam anggaran sehingga mereka lupa bahwa yang utama itu adalah bagaimana kepentingan publik dapat terakomodir dengan baik.</w:t>
      </w:r>
      <w:r>
        <w:rPr>
          <w:rFonts w:eastAsia="MS Mincho"/>
        </w:rPr>
        <w:t xml:space="preserve"> </w:t>
      </w:r>
      <w:r w:rsidR="00741E6B">
        <w:rPr>
          <w:rFonts w:eastAsia="MS Mincho"/>
        </w:rPr>
        <w:t xml:space="preserve">Sehingga </w:t>
      </w:r>
      <w:r w:rsidR="00741E6B">
        <w:rPr>
          <w:bCs/>
          <w:lang w:eastAsia="ja-JP"/>
        </w:rPr>
        <w:t>Aktor atau unit organisasi yang terkait dengan penganggaran tersebut tidak hanya disibukkan dengan bagaimana memperbesar dan mempertahankan anggaran yang dibuat, tetapi motif idealnya adalah bagaiman</w:t>
      </w:r>
      <w:r w:rsidR="00EA3FBD">
        <w:rPr>
          <w:bCs/>
          <w:lang w:eastAsia="ja-JP"/>
        </w:rPr>
        <w:t>a</w:t>
      </w:r>
      <w:r w:rsidR="00741E6B">
        <w:rPr>
          <w:bCs/>
          <w:lang w:eastAsia="ja-JP"/>
        </w:rPr>
        <w:t xml:space="preserve"> pengelolaan kebijakan keuangan daerah yang ekonomis, efisien, dan efektif yang memerlukan prinsip-prinsip manajemen belanja daerah secara cermat, konsisten dan berkelanjutan. </w:t>
      </w:r>
      <w:r w:rsidR="00242DD3">
        <w:rPr>
          <w:rFonts w:eastAsia="MS Mincho"/>
        </w:rPr>
        <w:t xml:space="preserve">Di sisi lain, </w:t>
      </w:r>
      <w:r w:rsidR="00242DD3">
        <w:t>a</w:t>
      </w:r>
      <w:r w:rsidR="00242DD3" w:rsidRPr="00063D1B">
        <w:rPr>
          <w:lang w:val="id-ID"/>
        </w:rPr>
        <w:t xml:space="preserve">nggaran sebagai sumber daya publik  memiliki masalah mendasar yang disebut dengan </w:t>
      </w:r>
      <w:r w:rsidR="00242DD3" w:rsidRPr="00B55E4D">
        <w:rPr>
          <w:i/>
        </w:rPr>
        <w:t>t</w:t>
      </w:r>
      <w:r w:rsidR="00242DD3" w:rsidRPr="00B55E4D">
        <w:rPr>
          <w:i/>
          <w:iCs/>
          <w:lang w:val="id-ID"/>
        </w:rPr>
        <w:t>r</w:t>
      </w:r>
      <w:r w:rsidR="00242DD3">
        <w:rPr>
          <w:i/>
          <w:iCs/>
          <w:lang w:val="id-ID"/>
        </w:rPr>
        <w:t xml:space="preserve">agedy of </w:t>
      </w:r>
      <w:r w:rsidR="00242DD3">
        <w:rPr>
          <w:i/>
          <w:iCs/>
        </w:rPr>
        <w:t>t</w:t>
      </w:r>
      <w:r w:rsidR="00242DD3">
        <w:rPr>
          <w:i/>
          <w:iCs/>
          <w:lang w:val="id-ID"/>
        </w:rPr>
        <w:t xml:space="preserve">he </w:t>
      </w:r>
      <w:r w:rsidR="00242DD3">
        <w:rPr>
          <w:i/>
          <w:iCs/>
        </w:rPr>
        <w:t>c</w:t>
      </w:r>
      <w:r w:rsidR="00242DD3" w:rsidRPr="00063D1B">
        <w:rPr>
          <w:i/>
          <w:iCs/>
          <w:lang w:val="id-ID"/>
        </w:rPr>
        <w:t>ommons</w:t>
      </w:r>
      <w:r w:rsidR="00242DD3" w:rsidRPr="00063D1B">
        <w:rPr>
          <w:lang w:val="id-ID"/>
        </w:rPr>
        <w:t xml:space="preserve"> (traged</w:t>
      </w:r>
      <w:r w:rsidR="00EA3FBD">
        <w:t>i</w:t>
      </w:r>
      <w:r w:rsidR="00242DD3" w:rsidRPr="00063D1B">
        <w:rPr>
          <w:lang w:val="id-ID"/>
        </w:rPr>
        <w:t xml:space="preserve"> kekayaan milik bersama). ADB Governance Brief (2001) menyatakan bahwa</w:t>
      </w:r>
      <w:r w:rsidR="00242DD3">
        <w:t xml:space="preserve"> </w:t>
      </w:r>
      <w:r w:rsidR="00242DD3">
        <w:rPr>
          <w:i/>
          <w:iCs/>
        </w:rPr>
        <w:t>“</w:t>
      </w:r>
      <w:r w:rsidR="00242DD3" w:rsidRPr="00063D1B">
        <w:rPr>
          <w:i/>
          <w:iCs/>
          <w:lang w:val="id-ID"/>
        </w:rPr>
        <w:t>The annual budget is somewhat like the common pool of fish in the river. Each claimant to the budget considers the budget as a “free” resource since his or her demand is such a small proportion of the total budget and therefore will not impose much of a loss to the total. But, of course, if every claimant behaved  this way, the aggregate of their demands will far exceed what is available</w:t>
      </w:r>
      <w:r w:rsidR="00242DD3">
        <w:rPr>
          <w:i/>
          <w:iCs/>
        </w:rPr>
        <w:t>”</w:t>
      </w:r>
      <w:r w:rsidR="00242DD3" w:rsidRPr="00063D1B">
        <w:rPr>
          <w:i/>
          <w:iCs/>
          <w:lang w:val="id-ID"/>
        </w:rPr>
        <w:t xml:space="preserve">. </w:t>
      </w:r>
      <w:r w:rsidR="007643C5" w:rsidRPr="00063D1B">
        <w:rPr>
          <w:i/>
          <w:iCs/>
          <w:lang w:val="id-ID"/>
        </w:rPr>
        <w:t xml:space="preserve">Tragedy of the commons </w:t>
      </w:r>
      <w:r w:rsidR="007643C5" w:rsidRPr="00063D1B">
        <w:rPr>
          <w:lang w:val="id-ID"/>
        </w:rPr>
        <w:t xml:space="preserve"> </w:t>
      </w:r>
      <w:r w:rsidR="007643C5">
        <w:t xml:space="preserve">ini tidak akan </w:t>
      </w:r>
      <w:r w:rsidR="007643C5" w:rsidRPr="00063D1B">
        <w:rPr>
          <w:lang w:val="id-ID"/>
        </w:rPr>
        <w:t xml:space="preserve">dapat dicegah </w:t>
      </w:r>
      <w:r w:rsidR="007643C5">
        <w:t xml:space="preserve">jika </w:t>
      </w:r>
      <w:r w:rsidR="007643C5" w:rsidRPr="00063D1B">
        <w:rPr>
          <w:lang w:val="id-ID"/>
        </w:rPr>
        <w:t xml:space="preserve">pemerintah </w:t>
      </w:r>
      <w:r w:rsidR="007643C5">
        <w:t>tidak</w:t>
      </w:r>
      <w:r w:rsidR="007643C5" w:rsidRPr="00063D1B">
        <w:rPr>
          <w:lang w:val="id-ID"/>
        </w:rPr>
        <w:t xml:space="preserve"> menetapkan aturan, memonitor aturan-aturan dengan efisien serta memberikan sanksi </w:t>
      </w:r>
      <w:r w:rsidR="007643C5">
        <w:t xml:space="preserve">tegas </w:t>
      </w:r>
      <w:r w:rsidR="007643C5" w:rsidRPr="00063D1B">
        <w:rPr>
          <w:lang w:val="id-ID"/>
        </w:rPr>
        <w:t>bagi pelanggar.</w:t>
      </w:r>
    </w:p>
    <w:p w:rsidR="00741E6B" w:rsidRDefault="00C040CB" w:rsidP="00741E6B">
      <w:pPr>
        <w:ind w:firstLine="720"/>
        <w:rPr>
          <w:szCs w:val="24"/>
          <w:lang w:eastAsia="ja-JP"/>
        </w:rPr>
      </w:pPr>
      <w:r>
        <w:rPr>
          <w:rFonts w:eastAsia="MS Mincho"/>
        </w:rPr>
        <w:t xml:space="preserve">Disinilah letak relevansi pentingnya kajian ini untuk mengidentifikasi model penganggaran yang efektif untuk lebih memerhatikan belanja untuk publik.  </w:t>
      </w:r>
      <w:r w:rsidR="000534FB">
        <w:t xml:space="preserve">Reformasi yang dilakukan oleh Manajemen Belanja Publik diarahkan untuk mencapai tiga tingkatan </w:t>
      </w:r>
      <w:r w:rsidR="000534FB" w:rsidRPr="00C206F5">
        <w:rPr>
          <w:i/>
        </w:rPr>
        <w:t>outcome</w:t>
      </w:r>
      <w:r w:rsidR="000534FB">
        <w:t xml:space="preserve"> penganggaran, yaitu: (1) disiplin fiskal agregat; (2) efisiensi alokasi; dan (3) efisiensi operasional,  dimana satu tingkatan </w:t>
      </w:r>
      <w:r w:rsidR="000534FB" w:rsidRPr="00663EA1">
        <w:rPr>
          <w:i/>
        </w:rPr>
        <w:t>outcome</w:t>
      </w:r>
      <w:r w:rsidR="000534FB">
        <w:t xml:space="preserve"> menjadi landasan bagi tercapainya tingkatan </w:t>
      </w:r>
      <w:r w:rsidR="000534FB" w:rsidRPr="00663EA1">
        <w:rPr>
          <w:i/>
        </w:rPr>
        <w:t>outcome</w:t>
      </w:r>
      <w:r w:rsidR="000534FB">
        <w:t xml:space="preserve"> berikutnya. </w:t>
      </w:r>
      <w:r w:rsidR="000534FB" w:rsidRPr="00C206F5">
        <w:rPr>
          <w:lang w:val="id-ID"/>
        </w:rPr>
        <w:t xml:space="preserve">Disiplin </w:t>
      </w:r>
      <w:r w:rsidR="000534FB">
        <w:rPr>
          <w:lang w:val="id-ID"/>
        </w:rPr>
        <w:t>fis</w:t>
      </w:r>
      <w:r w:rsidR="000534FB">
        <w:t>k</w:t>
      </w:r>
      <w:r w:rsidR="000534FB" w:rsidRPr="00C206F5">
        <w:rPr>
          <w:lang w:val="id-ID"/>
        </w:rPr>
        <w:t>al agregat</w:t>
      </w:r>
      <w:r w:rsidR="000534FB">
        <w:rPr>
          <w:lang w:val="id-ID"/>
        </w:rPr>
        <w:t xml:space="preserve"> menjadi landasan bagi tercapai</w:t>
      </w:r>
      <w:r w:rsidR="000534FB" w:rsidRPr="00C206F5">
        <w:rPr>
          <w:lang w:val="id-ID"/>
        </w:rPr>
        <w:t xml:space="preserve">nya efisiensi alokasi dan efisiensi operasional akan tercapai jika ada disiplin </w:t>
      </w:r>
      <w:r w:rsidR="000534FB">
        <w:rPr>
          <w:lang w:val="id-ID"/>
        </w:rPr>
        <w:t>fis</w:t>
      </w:r>
      <w:r w:rsidR="000534FB">
        <w:t>k</w:t>
      </w:r>
      <w:r w:rsidR="000534FB" w:rsidRPr="00C206F5">
        <w:rPr>
          <w:lang w:val="id-ID"/>
        </w:rPr>
        <w:t>al agregat dan efisiensi alokasi</w:t>
      </w:r>
      <w:r w:rsidR="000534FB">
        <w:rPr>
          <w:lang w:val="en-US"/>
        </w:rPr>
        <w:t xml:space="preserve"> (Shick, 1998)</w:t>
      </w:r>
      <w:r w:rsidR="000534FB">
        <w:rPr>
          <w:lang w:val="id-ID"/>
        </w:rPr>
        <w:t>.</w:t>
      </w:r>
      <w:r w:rsidR="000534FB">
        <w:rPr>
          <w:lang w:val="en-US"/>
        </w:rPr>
        <w:t xml:space="preserve"> </w:t>
      </w:r>
      <w:r w:rsidR="0040650C">
        <w:rPr>
          <w:lang w:val="en-US"/>
        </w:rPr>
        <w:t xml:space="preserve">Dalam mencapai </w:t>
      </w:r>
      <w:r w:rsidR="00146441">
        <w:rPr>
          <w:lang w:val="en-US"/>
        </w:rPr>
        <w:t>tiga tujuan utama tersebut Bastian (</w:t>
      </w:r>
      <w:r w:rsidR="00365CEC">
        <w:rPr>
          <w:lang w:val="en-US"/>
        </w:rPr>
        <w:t xml:space="preserve">2010), </w:t>
      </w:r>
      <w:r w:rsidR="00EA3FBD">
        <w:rPr>
          <w:lang w:val="en-US"/>
        </w:rPr>
        <w:t xml:space="preserve">mengemukakan bahwa </w:t>
      </w:r>
      <w:r w:rsidR="00365CEC">
        <w:rPr>
          <w:lang w:val="en-US"/>
        </w:rPr>
        <w:t xml:space="preserve">proses anggaran harus (i) memastikan bahwa anggaran sesuai dengan kebijakan makroekonomi dan keterbatasan sumberdaya; (ii) alokasi sumberdaya sesuai dengan kebijakan pemerintah; dan (iii) mempersiapkan kondisi bagi manajemen operasi yang baik. </w:t>
      </w:r>
      <w:r w:rsidR="00741E6B">
        <w:rPr>
          <w:lang w:val="en-US"/>
        </w:rPr>
        <w:t>Berdasarkan hal tersebut, a</w:t>
      </w:r>
      <w:r>
        <w:rPr>
          <w:szCs w:val="24"/>
          <w:lang w:eastAsia="ja-JP"/>
        </w:rPr>
        <w:t>lokasi belanja yang telah disusun dalam perencanaan daerah mestilah mempunyai keterkaitan logis dengan dokumen perencanaan yang telah ditetapkan seperti Rencana Kerja Satuan Kerja Perangkat Daerah (Renja SKPD), Rencana Kerja Pemerintah Daerah (RKPD), Rencana Pembangunan Jangka Menengah Daerah (RPJMD), dan Rencana Pembangunan Jangka Panjang Daerah (RPJPD).  Belanja yang dialokasikan dalam APBD mestilah mencerminkan pencapaian visi, misi, tujuan, da</w:t>
      </w:r>
      <w:r w:rsidR="00741E6B">
        <w:rPr>
          <w:szCs w:val="24"/>
          <w:lang w:eastAsia="ja-JP"/>
        </w:rPr>
        <w:t>n strategi pembangunan daerah.</w:t>
      </w:r>
    </w:p>
    <w:p w:rsidR="00C040CB" w:rsidRPr="00741E6B" w:rsidRDefault="00C040CB" w:rsidP="007A4045">
      <w:pPr>
        <w:ind w:firstLine="720"/>
        <w:rPr>
          <w:lang w:val="sv-SE"/>
        </w:rPr>
      </w:pPr>
      <w:r>
        <w:rPr>
          <w:lang w:eastAsia="ja-JP"/>
        </w:rPr>
        <w:t xml:space="preserve">Konsistensi antara kebijakan anggaran dalam dokumen perencanaan daerah dengan manajemen belanja daerah sangat penting agar terjadi keharmonisan diantaranya.  Sehingga azas </w:t>
      </w:r>
      <w:r>
        <w:rPr>
          <w:i/>
          <w:lang w:eastAsia="ja-JP"/>
        </w:rPr>
        <w:t>value for money</w:t>
      </w:r>
      <w:r>
        <w:rPr>
          <w:lang w:eastAsia="ja-JP"/>
        </w:rPr>
        <w:t xml:space="preserve"> yang mesti ada dalam manajemen belanja daerah harus dipenuhi.  Hal ini penting karena manajemen belanja tidak sekedar terkait masalah teknis bagaimana menghemat pengeluaran tetapi juga terkait dengan strategi dan kebijakan bagaimana mengalokasikan anggaran secara efisien, efektif, adil, dan merata (Mahmudi, 2010).  Dan, t</w:t>
      </w:r>
      <w:r>
        <w:rPr>
          <w:lang w:val="sv-SE"/>
        </w:rPr>
        <w:t xml:space="preserve">erwujudnya kesejahteraan masyarakat melalui peningkatan pelayanan, pemberdayaan dan peran serta masyarakat merupakan tujuan pemberian otonomi daerah selain memberikan keleluasaan dan kesempatan yang lebih luas, nyata dan bertanggungjawab kepada daerah mulai dari perencanaan, pengawasan, pengendalian dan evaluasi.  Hal ini senada dengan pendapat Mardiasmo (2002) yang mengatakan bahwa pemberian otonomi daerah bertujuan untuk meningkatkan pelayanan </w:t>
      </w:r>
      <w:r>
        <w:rPr>
          <w:lang w:val="sv-SE"/>
        </w:rPr>
        <w:lastRenderedPageBreak/>
        <w:t>publik dan memajukan otonomi daerah.</w:t>
      </w:r>
      <w:r w:rsidR="007A4045">
        <w:rPr>
          <w:szCs w:val="24"/>
          <w:lang w:val="ms-MY"/>
        </w:rPr>
        <w:t xml:space="preserve"> Makalah yang disusun </w:t>
      </w:r>
      <w:r w:rsidR="007C3B89">
        <w:rPr>
          <w:szCs w:val="24"/>
          <w:lang w:val="ms-MY"/>
        </w:rPr>
        <w:t xml:space="preserve">ini </w:t>
      </w:r>
      <w:r w:rsidR="007A4045">
        <w:rPr>
          <w:szCs w:val="24"/>
          <w:lang w:val="ms-MY"/>
        </w:rPr>
        <w:t xml:space="preserve">berdasarkan penelitian  dengan pendekatan kualitatif </w:t>
      </w:r>
      <w:r w:rsidR="007A4045" w:rsidRPr="007A4045">
        <w:rPr>
          <w:szCs w:val="24"/>
          <w:lang w:val="ms-MY"/>
        </w:rPr>
        <w:t>studi kasus</w:t>
      </w:r>
      <w:r w:rsidR="007A4045" w:rsidRPr="00121849">
        <w:rPr>
          <w:i/>
          <w:szCs w:val="24"/>
          <w:lang w:val="ms-MY"/>
        </w:rPr>
        <w:t xml:space="preserve"> </w:t>
      </w:r>
      <w:r w:rsidR="007A4045">
        <w:rPr>
          <w:szCs w:val="24"/>
          <w:lang w:val="ms-MY"/>
        </w:rPr>
        <w:t xml:space="preserve">yang menurut Creswell (2013:98) </w:t>
      </w:r>
      <w:r w:rsidR="007C3B89">
        <w:rPr>
          <w:szCs w:val="24"/>
          <w:lang w:val="ms-MY"/>
        </w:rPr>
        <w:t xml:space="preserve">adalah </w:t>
      </w:r>
      <w:r w:rsidR="007A4045">
        <w:rPr>
          <w:szCs w:val="24"/>
          <w:lang w:val="ms-MY"/>
        </w:rPr>
        <w:t>“</w:t>
      </w:r>
      <w:r w:rsidR="007A4045" w:rsidRPr="00121849">
        <w:rPr>
          <w:i/>
          <w:szCs w:val="24"/>
          <w:lang w:val="ms-MY"/>
        </w:rPr>
        <w:t>a qualitative case study can be composed to illustrate a unique case, a case that has unusual interest in and of itself and needs to be described and detailed</w:t>
      </w:r>
      <w:r w:rsidR="007A4045">
        <w:rPr>
          <w:szCs w:val="24"/>
          <w:lang w:val="ms-MY"/>
        </w:rPr>
        <w:t xml:space="preserve">.”  Melalui kajian ini, peneliti berharap mendapat data dan informasi yang relevan untuk menjelaskan penyebab permasalahan yang ada. Berdasarkan latar belakang di atas, </w:t>
      </w:r>
      <w:r w:rsidRPr="00B47DF9">
        <w:rPr>
          <w:color w:val="000000"/>
          <w:szCs w:val="24"/>
          <w:lang w:val="ms-MY"/>
        </w:rPr>
        <w:t xml:space="preserve">maka ditarik pertanyaan dalam </w:t>
      </w:r>
      <w:r w:rsidR="007A4045">
        <w:rPr>
          <w:color w:val="000000"/>
          <w:szCs w:val="24"/>
          <w:lang w:val="ms-MY"/>
        </w:rPr>
        <w:t>makalah ini</w:t>
      </w:r>
      <w:r>
        <w:rPr>
          <w:color w:val="000000"/>
          <w:szCs w:val="24"/>
          <w:lang w:val="ms-MY"/>
        </w:rPr>
        <w:t xml:space="preserve">adalah </w:t>
      </w:r>
      <w:r w:rsidRPr="00A546CE">
        <w:rPr>
          <w:b/>
          <w:i/>
          <w:color w:val="000000"/>
          <w:szCs w:val="24"/>
          <w:lang w:val="ms-MY"/>
        </w:rPr>
        <w:t xml:space="preserve">Bagaimana </w:t>
      </w:r>
      <w:r w:rsidR="007A4045">
        <w:rPr>
          <w:b/>
          <w:i/>
          <w:color w:val="000000"/>
          <w:szCs w:val="24"/>
          <w:lang w:val="ms-MY"/>
        </w:rPr>
        <w:t xml:space="preserve">implementasi belanja publik pada Anggaran Pendapatan dan Belanja Daerah: studi </w:t>
      </w:r>
      <w:r w:rsidRPr="00A546CE">
        <w:rPr>
          <w:b/>
          <w:i/>
          <w:color w:val="000000"/>
          <w:szCs w:val="24"/>
          <w:lang w:val="ms-MY"/>
        </w:rPr>
        <w:t>di Kota Solok?</w:t>
      </w:r>
    </w:p>
    <w:p w:rsidR="00C040CB" w:rsidRDefault="00C040CB" w:rsidP="00C040CB">
      <w:pPr>
        <w:ind w:firstLine="0"/>
      </w:pPr>
    </w:p>
    <w:p w:rsidR="0024288D" w:rsidRDefault="0024288D" w:rsidP="00280F7A">
      <w:pPr>
        <w:pStyle w:val="Heading1"/>
        <w:numPr>
          <w:ilvl w:val="0"/>
          <w:numId w:val="2"/>
        </w:numPr>
        <w:ind w:left="426" w:hanging="426"/>
        <w:rPr>
          <w:noProof w:val="0"/>
          <w:lang w:val="en-GB"/>
        </w:rPr>
      </w:pPr>
      <w:r>
        <w:rPr>
          <w:noProof w:val="0"/>
          <w:lang w:val="en-GB"/>
        </w:rPr>
        <w:t>p</w:t>
      </w:r>
      <w:r w:rsidR="0099078E">
        <w:rPr>
          <w:noProof w:val="0"/>
          <w:lang w:val="en-GB"/>
        </w:rPr>
        <w:t>EMBAHASAN</w:t>
      </w:r>
    </w:p>
    <w:p w:rsidR="007A4045" w:rsidRDefault="00CB191C" w:rsidP="007A4045">
      <w:pPr>
        <w:ind w:firstLine="0"/>
        <w:rPr>
          <w:b/>
        </w:rPr>
      </w:pPr>
      <w:r w:rsidRPr="00CB191C">
        <w:rPr>
          <w:b/>
        </w:rPr>
        <w:t>Pertumbuhan dan Tren</w:t>
      </w:r>
      <w:r w:rsidR="00BC6932">
        <w:rPr>
          <w:b/>
        </w:rPr>
        <w:t>d</w:t>
      </w:r>
      <w:r w:rsidRPr="00CB191C">
        <w:rPr>
          <w:b/>
        </w:rPr>
        <w:t xml:space="preserve"> APBD Kota Solok</w:t>
      </w:r>
    </w:p>
    <w:p w:rsidR="007A4045" w:rsidRDefault="007A4045" w:rsidP="007A4045">
      <w:pPr>
        <w:ind w:firstLine="0"/>
        <w:rPr>
          <w:b/>
        </w:rPr>
      </w:pPr>
    </w:p>
    <w:p w:rsidR="007A4045" w:rsidRDefault="005C6A2A" w:rsidP="007A4045">
      <w:pPr>
        <w:ind w:firstLine="720"/>
        <w:rPr>
          <w:color w:val="000000"/>
          <w:lang w:val="ms-MY"/>
        </w:rPr>
      </w:pPr>
      <w:r>
        <w:rPr>
          <w:color w:val="000000"/>
          <w:lang w:val="ms-MY"/>
        </w:rPr>
        <w:t xml:space="preserve">APBD merupakan instrumen yang akan menjamin terciptanya disiplin dalam proses pengambilan keputusan  terkait dengan kebijakan maupun belanja daerah (Anggarini dan Puranto, 2010). </w:t>
      </w:r>
      <w:r w:rsidR="00C040CB">
        <w:rPr>
          <w:color w:val="000000"/>
          <w:lang w:val="ms-MY"/>
        </w:rPr>
        <w:t>APBD</w:t>
      </w:r>
      <w:r>
        <w:rPr>
          <w:color w:val="000000"/>
          <w:lang w:val="ms-MY"/>
        </w:rPr>
        <w:t xml:space="preserve"> </w:t>
      </w:r>
      <w:r w:rsidR="00261056">
        <w:rPr>
          <w:color w:val="000000"/>
          <w:lang w:val="ms-MY"/>
        </w:rPr>
        <w:t xml:space="preserve">juga </w:t>
      </w:r>
      <w:r w:rsidR="00C040CB">
        <w:rPr>
          <w:color w:val="000000"/>
          <w:lang w:val="ms-MY"/>
        </w:rPr>
        <w:t>merupakan alat akuntabilitas, manajemen dan kebijakan sehingga berfungsi sebagai untuk mewujudkan tujuan pembangunan di daerah yang termaktub di dalam RPJMD dibuat oleh pemerintah daerah. RPJMD tersebut merupakan referensi utama pemerintah daerah dalam memformulasikan APBD dan mengimplementasikannya.</w:t>
      </w:r>
      <w:r>
        <w:rPr>
          <w:color w:val="000000"/>
          <w:lang w:val="ms-MY"/>
        </w:rPr>
        <w:t xml:space="preserve"> </w:t>
      </w:r>
      <w:r w:rsidR="00C040CB">
        <w:rPr>
          <w:color w:val="000000"/>
          <w:lang w:val="ms-MY"/>
        </w:rPr>
        <w:t>Dalam kajian ini, hal tersebutlah yang menjadi domain utama peneliti.  Banyak pemerintah daerah yang tidak optimal dalam mengelola APBD-nya, seperti terkendala oleh implementasi APBD yang kurang efisien dan efektif karena kurangnya sinergi antara Kebijakan Umum APBD (KUA) dengan prioritas pembangunan.  Atau, perencanaan anggaran yang memerlukan waktu yang sangat panjang yang memerlukan energi ekstra dan terkadang ketika disetujui sudah tidak sesuai dengan kebutuhan masyarakat.</w:t>
      </w:r>
    </w:p>
    <w:p w:rsidR="00C040CB" w:rsidRPr="007A4045" w:rsidRDefault="00C040CB" w:rsidP="007A4045">
      <w:pPr>
        <w:ind w:firstLine="720"/>
        <w:rPr>
          <w:color w:val="000000"/>
          <w:lang w:val="ms-MY"/>
        </w:rPr>
      </w:pPr>
      <w:r>
        <w:rPr>
          <w:color w:val="000000"/>
          <w:lang w:val="ms-MY"/>
        </w:rPr>
        <w:t>Berdasarkan temuan data lapangan penelitian di Kota Solok, dapat dilihat tren</w:t>
      </w:r>
      <w:r w:rsidR="00BC6932">
        <w:rPr>
          <w:color w:val="000000"/>
          <w:lang w:val="ms-MY"/>
        </w:rPr>
        <w:t>d</w:t>
      </w:r>
      <w:r>
        <w:rPr>
          <w:color w:val="000000"/>
          <w:lang w:val="ms-MY"/>
        </w:rPr>
        <w:t xml:space="preserve"> dan perbandingan APBD bahwa t</w:t>
      </w:r>
      <w:r>
        <w:rPr>
          <w:color w:val="222222"/>
        </w:rPr>
        <w:t>otal APBD Kota Solok dari Tahun 2011-2014 menunjukkan tren</w:t>
      </w:r>
      <w:r w:rsidR="00BC6932">
        <w:rPr>
          <w:color w:val="222222"/>
        </w:rPr>
        <w:t>d</w:t>
      </w:r>
      <w:r>
        <w:rPr>
          <w:color w:val="222222"/>
        </w:rPr>
        <w:t xml:space="preserve"> meningkat.  Pada Tahun 2010 APBD Kota Solok sebesar Rp. 633.402.913.708,-, dan meningkat sebesar 9,5% pada Tahun Anggaran 2011 atau sebesar Rp. </w:t>
      </w:r>
      <w:r w:rsidRPr="003A0BB0">
        <w:rPr>
          <w:color w:val="000000"/>
        </w:rPr>
        <w:t>693.381.734.053</w:t>
      </w:r>
      <w:r w:rsidRPr="003A0BB0">
        <w:rPr>
          <w:color w:val="222222"/>
        </w:rPr>
        <w:t>.</w:t>
      </w:r>
      <w:r>
        <w:rPr>
          <w:color w:val="222222"/>
        </w:rPr>
        <w:t xml:space="preserve">  Peningkatan terbesar APBD Kota Solok adalah sebesar 14,3% pada Tahun Anggaran 2014 ini yaitu sebesar Rp. </w:t>
      </w:r>
      <w:r w:rsidRPr="003A0BB0">
        <w:rPr>
          <w:color w:val="222222"/>
        </w:rPr>
        <w:t>962.232.723.511</w:t>
      </w:r>
      <w:r>
        <w:rPr>
          <w:color w:val="222222"/>
        </w:rPr>
        <w:t xml:space="preserve">.  Padahal pada Tahun Anggaran 2013, APBD Kota Solok mengalami peningkatan paling kecil yaitu hanya sebesar 7,9% atau sebesar Rp. </w:t>
      </w:r>
      <w:r w:rsidRPr="008E1FD9">
        <w:rPr>
          <w:color w:val="222222"/>
        </w:rPr>
        <w:t>841.807.682.296</w:t>
      </w:r>
      <w:r>
        <w:rPr>
          <w:color w:val="222222"/>
        </w:rPr>
        <w:t>.  Untuk lebih jelasnya dapat dilihat tren</w:t>
      </w:r>
      <w:r w:rsidR="00BC6932">
        <w:rPr>
          <w:color w:val="222222"/>
        </w:rPr>
        <w:t>d</w:t>
      </w:r>
      <w:r>
        <w:rPr>
          <w:color w:val="222222"/>
        </w:rPr>
        <w:t xml:space="preserve"> APBD Kota Solok pada grafik di bawah ini:</w:t>
      </w:r>
    </w:p>
    <w:p w:rsidR="007A4045" w:rsidRPr="007C3B89" w:rsidRDefault="00C040CB" w:rsidP="007C3B89">
      <w:pPr>
        <w:pStyle w:val="NoSpacing"/>
        <w:jc w:val="center"/>
      </w:pPr>
      <w:r w:rsidRPr="007C3B89">
        <w:rPr>
          <w:rFonts w:ascii="Times New Roman" w:hAnsi="Times New Roman" w:cs="Times New Roman"/>
          <w:b/>
          <w:sz w:val="24"/>
          <w:szCs w:val="24"/>
        </w:rPr>
        <w:t xml:space="preserve">Grafik </w:t>
      </w:r>
      <w:r w:rsidR="00ED016C" w:rsidRPr="007C3B89">
        <w:rPr>
          <w:rFonts w:ascii="Times New Roman" w:hAnsi="Times New Roman" w:cs="Times New Roman"/>
          <w:b/>
          <w:sz w:val="24"/>
          <w:szCs w:val="24"/>
        </w:rPr>
        <w:t>1</w:t>
      </w:r>
      <w:r w:rsidRPr="007C3B89">
        <w:rPr>
          <w:rFonts w:ascii="Times New Roman" w:hAnsi="Times New Roman" w:cs="Times New Roman"/>
          <w:b/>
          <w:sz w:val="24"/>
          <w:szCs w:val="24"/>
        </w:rPr>
        <w:t xml:space="preserve"> Tren</w:t>
      </w:r>
      <w:r w:rsidR="00BC6932" w:rsidRPr="007C3B89">
        <w:rPr>
          <w:rFonts w:ascii="Times New Roman" w:hAnsi="Times New Roman" w:cs="Times New Roman"/>
          <w:b/>
          <w:sz w:val="24"/>
          <w:szCs w:val="24"/>
        </w:rPr>
        <w:t>d</w:t>
      </w:r>
      <w:r w:rsidRPr="007C3B89">
        <w:rPr>
          <w:rFonts w:ascii="Times New Roman" w:hAnsi="Times New Roman" w:cs="Times New Roman"/>
          <w:b/>
          <w:sz w:val="24"/>
          <w:szCs w:val="24"/>
        </w:rPr>
        <w:t xml:space="preserve"> APBD Kota Solok 2010-2014</w:t>
      </w:r>
      <w:r>
        <w:rPr>
          <w:noProof/>
          <w:color w:val="000000"/>
        </w:rPr>
        <w:drawing>
          <wp:inline distT="0" distB="0" distL="0" distR="0">
            <wp:extent cx="4743450" cy="1714500"/>
            <wp:effectExtent l="19050" t="0" r="0" b="0"/>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srcRect/>
                    <a:stretch>
                      <a:fillRect/>
                    </a:stretch>
                  </pic:blipFill>
                  <pic:spPr bwMode="auto">
                    <a:xfrm>
                      <a:off x="0" y="0"/>
                      <a:ext cx="4743450" cy="1714500"/>
                    </a:xfrm>
                    <a:prstGeom prst="rect">
                      <a:avLst/>
                    </a:prstGeom>
                    <a:noFill/>
                    <a:ln w="9525">
                      <a:noFill/>
                      <a:miter lim="800000"/>
                      <a:headEnd/>
                      <a:tailEnd/>
                    </a:ln>
                  </pic:spPr>
                </pic:pic>
              </a:graphicData>
            </a:graphic>
          </wp:inline>
        </w:drawing>
      </w:r>
    </w:p>
    <w:p w:rsidR="00C040CB" w:rsidRPr="007C3B89" w:rsidRDefault="00C040CB" w:rsidP="007C3B89">
      <w:pPr>
        <w:pStyle w:val="NoSpacing"/>
        <w:ind w:left="720" w:firstLine="720"/>
        <w:rPr>
          <w:rFonts w:ascii="Times New Roman" w:hAnsi="Times New Roman" w:cs="Times New Roman"/>
          <w:b/>
          <w:sz w:val="24"/>
          <w:szCs w:val="24"/>
        </w:rPr>
      </w:pPr>
      <w:r w:rsidRPr="007C3B89">
        <w:rPr>
          <w:rFonts w:ascii="Times New Roman" w:hAnsi="Times New Roman" w:cs="Times New Roman"/>
          <w:sz w:val="24"/>
          <w:szCs w:val="24"/>
        </w:rPr>
        <w:t>Sumber: diolah dari APBD Kota Solok 2010-2014</w:t>
      </w:r>
    </w:p>
    <w:p w:rsidR="007A4045" w:rsidRDefault="007C3B89" w:rsidP="007A4045">
      <w:pPr>
        <w:pStyle w:val="NoSpacing"/>
        <w:ind w:firstLine="720"/>
        <w:jc w:val="both"/>
        <w:rPr>
          <w:rFonts w:ascii="Times New Roman" w:hAnsi="Times New Roman"/>
          <w:color w:val="222222"/>
          <w:sz w:val="24"/>
          <w:szCs w:val="24"/>
        </w:rPr>
      </w:pPr>
      <w:r>
        <w:rPr>
          <w:rFonts w:ascii="Times New Roman" w:hAnsi="Times New Roman"/>
          <w:color w:val="222222"/>
          <w:sz w:val="24"/>
          <w:szCs w:val="24"/>
        </w:rPr>
        <w:lastRenderedPageBreak/>
        <w:tab/>
      </w:r>
    </w:p>
    <w:p w:rsidR="00C040CB" w:rsidRDefault="00ED016C" w:rsidP="00ED016C">
      <w:pPr>
        <w:pStyle w:val="NoSpacing"/>
        <w:ind w:firstLine="720"/>
        <w:jc w:val="both"/>
        <w:rPr>
          <w:rFonts w:ascii="Times New Roman" w:hAnsi="Times New Roman"/>
          <w:color w:val="222222"/>
          <w:sz w:val="24"/>
          <w:szCs w:val="24"/>
        </w:rPr>
      </w:pPr>
      <w:r>
        <w:rPr>
          <w:rFonts w:ascii="Times New Roman" w:hAnsi="Times New Roman"/>
          <w:color w:val="222222"/>
          <w:sz w:val="24"/>
          <w:szCs w:val="24"/>
        </w:rPr>
        <w:t xml:space="preserve">Salah satu pilar yang menopang keberhasilan manajemen keuangan publik adalah manajemen pendapatan (Mahmudi, 2010). Besar kecilnya pendapatan daerah akan menentukan tingkat kualitas pelaksanaan pemerintahan, tingkat kemampuan pemerintah dalam penyediaan pelayanan publik serta keberhasilan pelaksanaan program dan kegiatan pembangunan di daerah. </w:t>
      </w:r>
      <w:r w:rsidR="00261056">
        <w:rPr>
          <w:rFonts w:ascii="Times New Roman" w:hAnsi="Times New Roman"/>
          <w:color w:val="222222"/>
          <w:sz w:val="24"/>
          <w:szCs w:val="24"/>
        </w:rPr>
        <w:t>Jika d</w:t>
      </w:r>
      <w:r w:rsidR="00C040CB">
        <w:rPr>
          <w:rFonts w:ascii="Times New Roman" w:hAnsi="Times New Roman"/>
          <w:color w:val="222222"/>
          <w:sz w:val="24"/>
          <w:szCs w:val="24"/>
        </w:rPr>
        <w:t>ilihat dari data pendapatan nasional, rata-rata pendapatan provinsi dan kab/kota di Indonesia sejumlah 23,437 Milyar, sebagaimana grafik berikut ini:</w:t>
      </w:r>
    </w:p>
    <w:p w:rsidR="00C040CB" w:rsidRPr="007C3B89" w:rsidRDefault="00C040CB" w:rsidP="007C3B89">
      <w:pPr>
        <w:pStyle w:val="NoSpacing"/>
        <w:jc w:val="center"/>
        <w:rPr>
          <w:rFonts w:ascii="Times New Roman" w:hAnsi="Times New Roman" w:cs="Times New Roman"/>
          <w:b/>
          <w:sz w:val="24"/>
          <w:szCs w:val="24"/>
        </w:rPr>
      </w:pPr>
      <w:r w:rsidRPr="007C3B89">
        <w:rPr>
          <w:rFonts w:ascii="Times New Roman" w:hAnsi="Times New Roman" w:cs="Times New Roman"/>
          <w:b/>
          <w:sz w:val="24"/>
          <w:szCs w:val="24"/>
        </w:rPr>
        <w:t xml:space="preserve">Grafik </w:t>
      </w:r>
      <w:r w:rsidR="00ED016C" w:rsidRPr="007C3B89">
        <w:rPr>
          <w:rFonts w:ascii="Times New Roman" w:hAnsi="Times New Roman" w:cs="Times New Roman"/>
          <w:b/>
          <w:sz w:val="24"/>
          <w:szCs w:val="24"/>
        </w:rPr>
        <w:t>2</w:t>
      </w:r>
      <w:r w:rsidRPr="007C3B89">
        <w:rPr>
          <w:rFonts w:ascii="Times New Roman" w:hAnsi="Times New Roman" w:cs="Times New Roman"/>
          <w:b/>
          <w:sz w:val="24"/>
          <w:szCs w:val="24"/>
        </w:rPr>
        <w:t xml:space="preserve"> Perbandingan Rata-rata Nasional Pendapatan Provinsi dan Kab/Kota 2014</w:t>
      </w:r>
    </w:p>
    <w:p w:rsidR="00C040CB" w:rsidRPr="007C3B89" w:rsidRDefault="00C040CB" w:rsidP="007C3B89">
      <w:pPr>
        <w:pStyle w:val="NoSpacing"/>
        <w:spacing w:line="360" w:lineRule="auto"/>
        <w:jc w:val="both"/>
        <w:rPr>
          <w:rFonts w:ascii="Times New Roman" w:hAnsi="Times New Roman" w:cs="Times New Roman"/>
          <w:color w:val="222222"/>
          <w:sz w:val="24"/>
          <w:szCs w:val="24"/>
        </w:rPr>
      </w:pPr>
      <w:r>
        <w:rPr>
          <w:rFonts w:ascii="Times New Roman" w:hAnsi="Times New Roman"/>
          <w:noProof/>
          <w:color w:val="222222"/>
          <w:sz w:val="24"/>
          <w:szCs w:val="24"/>
        </w:rPr>
        <w:drawing>
          <wp:inline distT="0" distB="0" distL="0" distR="0">
            <wp:extent cx="5638800" cy="275272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11664" t="16023" b="7121"/>
                    <a:stretch>
                      <a:fillRect/>
                    </a:stretch>
                  </pic:blipFill>
                  <pic:spPr bwMode="auto">
                    <a:xfrm>
                      <a:off x="0" y="0"/>
                      <a:ext cx="5638800" cy="2752725"/>
                    </a:xfrm>
                    <a:prstGeom prst="rect">
                      <a:avLst/>
                    </a:prstGeom>
                    <a:noFill/>
                    <a:ln w="9525">
                      <a:noFill/>
                      <a:miter lim="800000"/>
                      <a:headEnd/>
                      <a:tailEnd/>
                    </a:ln>
                  </pic:spPr>
                </pic:pic>
              </a:graphicData>
            </a:graphic>
          </wp:inline>
        </w:drawing>
      </w:r>
      <w:r w:rsidRPr="007C3B89">
        <w:rPr>
          <w:rFonts w:ascii="Times New Roman" w:hAnsi="Times New Roman" w:cs="Times New Roman"/>
          <w:sz w:val="24"/>
          <w:szCs w:val="24"/>
        </w:rPr>
        <w:t>Sumber: keuda.kemendagri.go.id</w:t>
      </w:r>
    </w:p>
    <w:p w:rsidR="00C040CB" w:rsidRPr="007268B7" w:rsidRDefault="00C040CB" w:rsidP="00ED016C">
      <w:pPr>
        <w:pStyle w:val="NoSpacing"/>
        <w:ind w:firstLine="720"/>
        <w:jc w:val="both"/>
        <w:rPr>
          <w:rFonts w:ascii="Times New Roman" w:hAnsi="Times New Roman"/>
          <w:sz w:val="24"/>
          <w:szCs w:val="24"/>
        </w:rPr>
      </w:pPr>
      <w:r w:rsidRPr="007268B7">
        <w:rPr>
          <w:rFonts w:ascii="Times New Roman" w:hAnsi="Times New Roman"/>
          <w:sz w:val="24"/>
          <w:szCs w:val="24"/>
        </w:rPr>
        <w:t>Pendapatan Kota Solok yang terdiri dari PAD, Dana Perimbangan dan lain-lain Pendapatan Daerah yang sah selama kurun waktu 20</w:t>
      </w:r>
      <w:r>
        <w:rPr>
          <w:rFonts w:ascii="Times New Roman" w:hAnsi="Times New Roman"/>
          <w:sz w:val="24"/>
          <w:szCs w:val="24"/>
        </w:rPr>
        <w:t>11</w:t>
      </w:r>
      <w:r w:rsidRPr="007268B7">
        <w:rPr>
          <w:rFonts w:ascii="Times New Roman" w:hAnsi="Times New Roman"/>
          <w:sz w:val="24"/>
          <w:szCs w:val="24"/>
        </w:rPr>
        <w:t>-201</w:t>
      </w:r>
      <w:r>
        <w:rPr>
          <w:rFonts w:ascii="Times New Roman" w:hAnsi="Times New Roman"/>
          <w:sz w:val="24"/>
          <w:szCs w:val="24"/>
        </w:rPr>
        <w:t>4</w:t>
      </w:r>
      <w:r w:rsidRPr="007268B7">
        <w:rPr>
          <w:rFonts w:ascii="Times New Roman" w:hAnsi="Times New Roman"/>
          <w:sz w:val="24"/>
          <w:szCs w:val="24"/>
        </w:rPr>
        <w:t xml:space="preserve">, </w:t>
      </w:r>
      <w:r w:rsidR="00BC6932">
        <w:rPr>
          <w:rFonts w:ascii="Times New Roman" w:hAnsi="Times New Roman"/>
          <w:sz w:val="24"/>
          <w:szCs w:val="24"/>
        </w:rPr>
        <w:t>trend</w:t>
      </w:r>
      <w:r w:rsidRPr="007268B7">
        <w:rPr>
          <w:rFonts w:ascii="Times New Roman" w:hAnsi="Times New Roman"/>
          <w:sz w:val="24"/>
          <w:szCs w:val="24"/>
        </w:rPr>
        <w:t xml:space="preserve"> </w:t>
      </w:r>
      <w:r>
        <w:rPr>
          <w:rFonts w:ascii="Times New Roman" w:hAnsi="Times New Roman"/>
          <w:sz w:val="24"/>
          <w:szCs w:val="24"/>
        </w:rPr>
        <w:t xml:space="preserve">yang ada selalu </w:t>
      </w:r>
      <w:r w:rsidRPr="007268B7">
        <w:rPr>
          <w:rFonts w:ascii="Times New Roman" w:hAnsi="Times New Roman"/>
          <w:sz w:val="24"/>
          <w:szCs w:val="24"/>
        </w:rPr>
        <w:t>menunjukkan</w:t>
      </w:r>
      <w:r>
        <w:rPr>
          <w:rFonts w:ascii="Times New Roman" w:hAnsi="Times New Roman"/>
          <w:sz w:val="24"/>
          <w:szCs w:val="24"/>
        </w:rPr>
        <w:t xml:space="preserve"> p</w:t>
      </w:r>
      <w:r w:rsidRPr="007268B7">
        <w:rPr>
          <w:rFonts w:ascii="Times New Roman" w:hAnsi="Times New Roman"/>
          <w:sz w:val="24"/>
          <w:szCs w:val="24"/>
        </w:rPr>
        <w:t>eningkat</w:t>
      </w:r>
      <w:r>
        <w:rPr>
          <w:rFonts w:ascii="Times New Roman" w:hAnsi="Times New Roman"/>
          <w:sz w:val="24"/>
          <w:szCs w:val="24"/>
        </w:rPr>
        <w:t>an dan di atas rata-rata nasional.</w:t>
      </w:r>
      <w:r w:rsidRPr="007268B7">
        <w:rPr>
          <w:rFonts w:ascii="Times New Roman" w:hAnsi="Times New Roman"/>
          <w:sz w:val="24"/>
          <w:szCs w:val="24"/>
        </w:rPr>
        <w:t xml:space="preserve"> </w:t>
      </w:r>
      <w:r>
        <w:rPr>
          <w:rFonts w:ascii="Times New Roman" w:hAnsi="Times New Roman"/>
          <w:sz w:val="24"/>
          <w:szCs w:val="24"/>
        </w:rPr>
        <w:t xml:space="preserve"> Tetapi, jika ditelaah lebih lanjut, terdapat juga penurunan untuk pos-pos penerimaan tertentu, seperti yang ditunjukkan oleh tabel di bawah ini: </w:t>
      </w:r>
    </w:p>
    <w:p w:rsidR="00C040CB" w:rsidRPr="00ED016C" w:rsidRDefault="00C040CB" w:rsidP="00C040CB">
      <w:pPr>
        <w:pStyle w:val="NoSpacing"/>
        <w:jc w:val="center"/>
        <w:rPr>
          <w:rFonts w:ascii="Times New Roman" w:hAnsi="Times New Roman"/>
          <w:b/>
          <w:sz w:val="24"/>
          <w:szCs w:val="24"/>
        </w:rPr>
      </w:pPr>
      <w:r w:rsidRPr="00ED016C">
        <w:rPr>
          <w:rFonts w:ascii="Times New Roman" w:hAnsi="Times New Roman"/>
          <w:b/>
          <w:sz w:val="24"/>
          <w:szCs w:val="24"/>
        </w:rPr>
        <w:t xml:space="preserve">Tabel </w:t>
      </w:r>
      <w:r w:rsidR="00506112">
        <w:rPr>
          <w:rFonts w:ascii="Times New Roman" w:hAnsi="Times New Roman"/>
          <w:b/>
          <w:sz w:val="24"/>
          <w:szCs w:val="24"/>
        </w:rPr>
        <w:t>2</w:t>
      </w:r>
      <w:r w:rsidRPr="00ED016C">
        <w:rPr>
          <w:rFonts w:ascii="Times New Roman" w:hAnsi="Times New Roman"/>
          <w:b/>
          <w:sz w:val="24"/>
          <w:szCs w:val="24"/>
        </w:rPr>
        <w:t xml:space="preserve"> Perbandingan Pendapatan APBD 2011-2014</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68"/>
        <w:gridCol w:w="776"/>
        <w:gridCol w:w="1620"/>
        <w:gridCol w:w="630"/>
        <w:gridCol w:w="1710"/>
        <w:gridCol w:w="630"/>
        <w:gridCol w:w="1620"/>
        <w:gridCol w:w="720"/>
      </w:tblGrid>
      <w:tr w:rsidR="00C040CB" w:rsidRPr="00ED016C" w:rsidTr="00506112">
        <w:tc>
          <w:tcPr>
            <w:tcW w:w="1276" w:type="dxa"/>
            <w:vMerge w:val="restart"/>
            <w:shd w:val="clear" w:color="auto" w:fill="F2F2F2"/>
            <w:vAlign w:val="center"/>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Unsur</w:t>
            </w:r>
          </w:p>
        </w:tc>
        <w:tc>
          <w:tcPr>
            <w:tcW w:w="9474" w:type="dxa"/>
            <w:gridSpan w:val="8"/>
            <w:shd w:val="clear" w:color="auto" w:fill="F2F2F2"/>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Tahun Perbandingan</w:t>
            </w:r>
          </w:p>
        </w:tc>
      </w:tr>
      <w:tr w:rsidR="00C040CB" w:rsidRPr="00ED016C" w:rsidTr="00506112">
        <w:tc>
          <w:tcPr>
            <w:tcW w:w="1276" w:type="dxa"/>
            <w:vMerge/>
            <w:vAlign w:val="center"/>
            <w:hideMark/>
          </w:tcPr>
          <w:p w:rsidR="00C040CB" w:rsidRPr="00ED016C" w:rsidRDefault="00C040CB" w:rsidP="001450B2">
            <w:pPr>
              <w:rPr>
                <w:sz w:val="20"/>
              </w:rPr>
            </w:pPr>
          </w:p>
        </w:tc>
        <w:tc>
          <w:tcPr>
            <w:tcW w:w="1768" w:type="dxa"/>
            <w:shd w:val="clear" w:color="auto" w:fill="F2F2F2"/>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2011</w:t>
            </w:r>
          </w:p>
        </w:tc>
        <w:tc>
          <w:tcPr>
            <w:tcW w:w="776" w:type="dxa"/>
            <w:shd w:val="clear" w:color="auto" w:fill="F2F2F2"/>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w:t>
            </w:r>
          </w:p>
        </w:tc>
        <w:tc>
          <w:tcPr>
            <w:tcW w:w="1620" w:type="dxa"/>
            <w:shd w:val="clear" w:color="auto" w:fill="F2F2F2"/>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2012</w:t>
            </w:r>
          </w:p>
        </w:tc>
        <w:tc>
          <w:tcPr>
            <w:tcW w:w="630" w:type="dxa"/>
            <w:shd w:val="clear" w:color="auto" w:fill="F2F2F2"/>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w:t>
            </w:r>
          </w:p>
        </w:tc>
        <w:tc>
          <w:tcPr>
            <w:tcW w:w="1710" w:type="dxa"/>
            <w:shd w:val="clear" w:color="auto" w:fill="F2F2F2"/>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2013</w:t>
            </w:r>
          </w:p>
        </w:tc>
        <w:tc>
          <w:tcPr>
            <w:tcW w:w="630" w:type="dxa"/>
            <w:shd w:val="clear" w:color="auto" w:fill="F2F2F2"/>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w:t>
            </w:r>
          </w:p>
        </w:tc>
        <w:tc>
          <w:tcPr>
            <w:tcW w:w="1620" w:type="dxa"/>
            <w:shd w:val="clear" w:color="auto" w:fill="F2F2F2"/>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2014</w:t>
            </w:r>
          </w:p>
        </w:tc>
        <w:tc>
          <w:tcPr>
            <w:tcW w:w="720" w:type="dxa"/>
            <w:shd w:val="clear" w:color="auto" w:fill="F2F2F2"/>
            <w:hideMark/>
          </w:tcPr>
          <w:p w:rsidR="00C040CB" w:rsidRPr="00ED016C" w:rsidRDefault="00C040CB" w:rsidP="001450B2">
            <w:pPr>
              <w:pStyle w:val="NoSpacing"/>
              <w:jc w:val="center"/>
              <w:rPr>
                <w:rFonts w:ascii="Times New Roman" w:hAnsi="Times New Roman" w:cs="Times New Roman"/>
                <w:sz w:val="20"/>
                <w:szCs w:val="20"/>
              </w:rPr>
            </w:pPr>
            <w:r w:rsidRPr="00ED016C">
              <w:rPr>
                <w:rFonts w:ascii="Times New Roman" w:hAnsi="Times New Roman" w:cs="Times New Roman"/>
                <w:sz w:val="20"/>
                <w:szCs w:val="20"/>
              </w:rPr>
              <w:t>%</w:t>
            </w:r>
          </w:p>
        </w:tc>
      </w:tr>
      <w:tr w:rsidR="00C040CB" w:rsidRPr="00ED016C" w:rsidTr="00506112">
        <w:tc>
          <w:tcPr>
            <w:tcW w:w="1276" w:type="dxa"/>
            <w:hideMark/>
          </w:tcPr>
          <w:p w:rsidR="00C040CB" w:rsidRPr="00ED016C" w:rsidRDefault="00C040CB" w:rsidP="00ED016C">
            <w:pPr>
              <w:ind w:firstLine="0"/>
              <w:rPr>
                <w:b/>
                <w:color w:val="222222"/>
                <w:sz w:val="20"/>
              </w:rPr>
            </w:pPr>
            <w:r w:rsidRPr="00ED016C">
              <w:rPr>
                <w:b/>
                <w:color w:val="222222"/>
                <w:sz w:val="20"/>
              </w:rPr>
              <w:t>Total APBD</w:t>
            </w:r>
          </w:p>
        </w:tc>
        <w:tc>
          <w:tcPr>
            <w:tcW w:w="1768" w:type="dxa"/>
            <w:hideMark/>
          </w:tcPr>
          <w:p w:rsidR="00C040CB" w:rsidRPr="00ED016C" w:rsidRDefault="00C040CB" w:rsidP="007C3B89">
            <w:pPr>
              <w:ind w:firstLine="0"/>
              <w:jc w:val="right"/>
              <w:rPr>
                <w:color w:val="222222"/>
                <w:sz w:val="20"/>
              </w:rPr>
            </w:pPr>
            <w:r w:rsidRPr="00ED016C">
              <w:rPr>
                <w:color w:val="000000"/>
                <w:sz w:val="20"/>
              </w:rPr>
              <w:t>693.381.734.053</w:t>
            </w:r>
          </w:p>
        </w:tc>
        <w:tc>
          <w:tcPr>
            <w:tcW w:w="776" w:type="dxa"/>
            <w:hideMark/>
          </w:tcPr>
          <w:p w:rsidR="00C040CB" w:rsidRPr="00ED016C" w:rsidRDefault="00C040CB" w:rsidP="007C3B89">
            <w:pPr>
              <w:ind w:firstLine="0"/>
              <w:jc w:val="center"/>
              <w:rPr>
                <w:color w:val="222222"/>
                <w:sz w:val="20"/>
              </w:rPr>
            </w:pPr>
            <w:r w:rsidRPr="00ED016C">
              <w:rPr>
                <w:color w:val="222222"/>
                <w:sz w:val="20"/>
              </w:rPr>
              <w:t>9,5</w:t>
            </w:r>
          </w:p>
        </w:tc>
        <w:tc>
          <w:tcPr>
            <w:tcW w:w="1620" w:type="dxa"/>
            <w:hideMark/>
          </w:tcPr>
          <w:p w:rsidR="00C040CB" w:rsidRPr="00ED016C" w:rsidRDefault="00C040CB" w:rsidP="007C3B89">
            <w:pPr>
              <w:ind w:firstLine="0"/>
              <w:jc w:val="right"/>
              <w:rPr>
                <w:color w:val="222222"/>
                <w:sz w:val="20"/>
              </w:rPr>
            </w:pPr>
            <w:r w:rsidRPr="00ED016C">
              <w:rPr>
                <w:color w:val="222222"/>
                <w:sz w:val="20"/>
              </w:rPr>
              <w:t>783.865.797.081</w:t>
            </w:r>
          </w:p>
        </w:tc>
        <w:tc>
          <w:tcPr>
            <w:tcW w:w="630" w:type="dxa"/>
            <w:hideMark/>
          </w:tcPr>
          <w:p w:rsidR="00C040CB" w:rsidRPr="00ED016C" w:rsidRDefault="00C040CB" w:rsidP="007C3B89">
            <w:pPr>
              <w:ind w:firstLine="0"/>
              <w:jc w:val="center"/>
              <w:rPr>
                <w:color w:val="222222"/>
                <w:sz w:val="20"/>
              </w:rPr>
            </w:pPr>
            <w:r w:rsidRPr="00ED016C">
              <w:rPr>
                <w:color w:val="222222"/>
                <w:sz w:val="20"/>
              </w:rPr>
              <w:t>13,1</w:t>
            </w:r>
          </w:p>
        </w:tc>
        <w:tc>
          <w:tcPr>
            <w:tcW w:w="1710" w:type="dxa"/>
            <w:hideMark/>
          </w:tcPr>
          <w:p w:rsidR="00C040CB" w:rsidRPr="00ED016C" w:rsidRDefault="00C040CB" w:rsidP="007C3B89">
            <w:pPr>
              <w:ind w:firstLine="0"/>
              <w:jc w:val="right"/>
              <w:rPr>
                <w:color w:val="222222"/>
                <w:sz w:val="20"/>
              </w:rPr>
            </w:pPr>
            <w:r w:rsidRPr="00ED016C">
              <w:rPr>
                <w:color w:val="222222"/>
                <w:sz w:val="20"/>
              </w:rPr>
              <w:t>841.807.682.296</w:t>
            </w:r>
          </w:p>
        </w:tc>
        <w:tc>
          <w:tcPr>
            <w:tcW w:w="630" w:type="dxa"/>
            <w:hideMark/>
          </w:tcPr>
          <w:p w:rsidR="00C040CB" w:rsidRPr="00ED016C" w:rsidRDefault="00C040CB" w:rsidP="007C3B89">
            <w:pPr>
              <w:ind w:firstLine="0"/>
              <w:jc w:val="center"/>
              <w:rPr>
                <w:color w:val="222222"/>
                <w:sz w:val="20"/>
              </w:rPr>
            </w:pPr>
            <w:r w:rsidRPr="00ED016C">
              <w:rPr>
                <w:color w:val="222222"/>
                <w:sz w:val="20"/>
              </w:rPr>
              <w:t>7,9</w:t>
            </w:r>
          </w:p>
        </w:tc>
        <w:tc>
          <w:tcPr>
            <w:tcW w:w="1620" w:type="dxa"/>
            <w:hideMark/>
          </w:tcPr>
          <w:p w:rsidR="00C040CB" w:rsidRPr="00ED016C" w:rsidRDefault="00C040CB" w:rsidP="007C3B89">
            <w:pPr>
              <w:ind w:firstLine="0"/>
              <w:jc w:val="right"/>
              <w:rPr>
                <w:color w:val="222222"/>
                <w:sz w:val="20"/>
              </w:rPr>
            </w:pPr>
            <w:r w:rsidRPr="00ED016C">
              <w:rPr>
                <w:color w:val="222222"/>
                <w:sz w:val="20"/>
              </w:rPr>
              <w:t>962.232.723.511</w:t>
            </w:r>
          </w:p>
        </w:tc>
        <w:tc>
          <w:tcPr>
            <w:tcW w:w="720" w:type="dxa"/>
            <w:hideMark/>
          </w:tcPr>
          <w:p w:rsidR="00C040CB" w:rsidRPr="00ED016C" w:rsidRDefault="00C040CB" w:rsidP="007C3B89">
            <w:pPr>
              <w:ind w:firstLine="0"/>
              <w:jc w:val="center"/>
              <w:rPr>
                <w:color w:val="222222"/>
                <w:sz w:val="20"/>
              </w:rPr>
            </w:pPr>
            <w:r w:rsidRPr="00ED016C">
              <w:rPr>
                <w:color w:val="222222"/>
                <w:sz w:val="20"/>
              </w:rPr>
              <w:t>14,3</w:t>
            </w:r>
          </w:p>
        </w:tc>
      </w:tr>
      <w:tr w:rsidR="00C040CB" w:rsidRPr="00ED016C" w:rsidTr="00506112">
        <w:tc>
          <w:tcPr>
            <w:tcW w:w="1276" w:type="dxa"/>
            <w:hideMark/>
          </w:tcPr>
          <w:p w:rsidR="00C040CB" w:rsidRPr="00ED016C" w:rsidRDefault="00C040CB" w:rsidP="00ED016C">
            <w:pPr>
              <w:ind w:firstLine="0"/>
              <w:rPr>
                <w:color w:val="222222"/>
                <w:sz w:val="20"/>
              </w:rPr>
            </w:pPr>
            <w:r w:rsidRPr="00ED016C">
              <w:rPr>
                <w:color w:val="222222"/>
                <w:sz w:val="20"/>
              </w:rPr>
              <w:t>Pendapatan</w:t>
            </w:r>
          </w:p>
        </w:tc>
        <w:tc>
          <w:tcPr>
            <w:tcW w:w="1768" w:type="dxa"/>
            <w:hideMark/>
          </w:tcPr>
          <w:p w:rsidR="00C040CB" w:rsidRPr="00ED016C" w:rsidRDefault="00C040CB" w:rsidP="007C3B89">
            <w:pPr>
              <w:ind w:firstLine="0"/>
              <w:jc w:val="right"/>
              <w:rPr>
                <w:color w:val="000000"/>
                <w:sz w:val="20"/>
              </w:rPr>
            </w:pPr>
            <w:r w:rsidRPr="00ED016C">
              <w:rPr>
                <w:color w:val="000000"/>
                <w:sz w:val="20"/>
              </w:rPr>
              <w:t>314.610.442.845</w:t>
            </w:r>
          </w:p>
        </w:tc>
        <w:tc>
          <w:tcPr>
            <w:tcW w:w="776" w:type="dxa"/>
            <w:hideMark/>
          </w:tcPr>
          <w:p w:rsidR="00C040CB" w:rsidRPr="00ED016C" w:rsidRDefault="00C040CB" w:rsidP="007C3B89">
            <w:pPr>
              <w:ind w:firstLine="0"/>
              <w:jc w:val="center"/>
              <w:rPr>
                <w:color w:val="222222"/>
                <w:sz w:val="20"/>
              </w:rPr>
            </w:pPr>
            <w:r w:rsidRPr="00ED016C">
              <w:rPr>
                <w:color w:val="222222"/>
                <w:sz w:val="20"/>
              </w:rPr>
              <w:t>18</w:t>
            </w:r>
          </w:p>
        </w:tc>
        <w:tc>
          <w:tcPr>
            <w:tcW w:w="1620" w:type="dxa"/>
            <w:hideMark/>
          </w:tcPr>
          <w:p w:rsidR="00C040CB" w:rsidRPr="00ED016C" w:rsidRDefault="00C040CB" w:rsidP="007C3B89">
            <w:pPr>
              <w:ind w:firstLine="0"/>
              <w:jc w:val="right"/>
              <w:rPr>
                <w:color w:val="222222"/>
                <w:sz w:val="20"/>
              </w:rPr>
            </w:pPr>
            <w:r w:rsidRPr="00ED016C">
              <w:rPr>
                <w:color w:val="222222"/>
                <w:sz w:val="20"/>
              </w:rPr>
              <w:t>378.822.831.257</w:t>
            </w:r>
          </w:p>
        </w:tc>
        <w:tc>
          <w:tcPr>
            <w:tcW w:w="630" w:type="dxa"/>
            <w:hideMark/>
          </w:tcPr>
          <w:p w:rsidR="00C040CB" w:rsidRPr="00ED016C" w:rsidRDefault="00C040CB" w:rsidP="007C3B89">
            <w:pPr>
              <w:ind w:firstLine="0"/>
              <w:jc w:val="center"/>
              <w:rPr>
                <w:color w:val="222222"/>
                <w:sz w:val="20"/>
              </w:rPr>
            </w:pPr>
            <w:r w:rsidRPr="00ED016C">
              <w:rPr>
                <w:color w:val="222222"/>
                <w:sz w:val="20"/>
              </w:rPr>
              <w:t>20</w:t>
            </w:r>
          </w:p>
        </w:tc>
        <w:tc>
          <w:tcPr>
            <w:tcW w:w="1710" w:type="dxa"/>
            <w:hideMark/>
          </w:tcPr>
          <w:p w:rsidR="00C040CB" w:rsidRPr="00ED016C" w:rsidRDefault="00C040CB" w:rsidP="007C3B89">
            <w:pPr>
              <w:ind w:firstLine="0"/>
              <w:jc w:val="right"/>
              <w:rPr>
                <w:color w:val="222222"/>
                <w:sz w:val="20"/>
              </w:rPr>
            </w:pPr>
            <w:r w:rsidRPr="00ED016C">
              <w:rPr>
                <w:color w:val="222222"/>
                <w:sz w:val="20"/>
              </w:rPr>
              <w:t>405.620.138.155</w:t>
            </w:r>
          </w:p>
        </w:tc>
        <w:tc>
          <w:tcPr>
            <w:tcW w:w="630" w:type="dxa"/>
            <w:hideMark/>
          </w:tcPr>
          <w:p w:rsidR="00C040CB" w:rsidRPr="00ED016C" w:rsidRDefault="00C040CB" w:rsidP="007C3B89">
            <w:pPr>
              <w:jc w:val="center"/>
              <w:rPr>
                <w:color w:val="222222"/>
                <w:sz w:val="20"/>
              </w:rPr>
            </w:pPr>
            <w:r w:rsidRPr="00ED016C">
              <w:rPr>
                <w:color w:val="222222"/>
                <w:sz w:val="20"/>
              </w:rPr>
              <w:t>7</w:t>
            </w:r>
          </w:p>
        </w:tc>
        <w:tc>
          <w:tcPr>
            <w:tcW w:w="1620" w:type="dxa"/>
            <w:hideMark/>
          </w:tcPr>
          <w:p w:rsidR="00C040CB" w:rsidRPr="00ED016C" w:rsidRDefault="00C040CB" w:rsidP="007C3B89">
            <w:pPr>
              <w:ind w:firstLine="0"/>
              <w:jc w:val="right"/>
              <w:rPr>
                <w:color w:val="222222"/>
                <w:sz w:val="20"/>
              </w:rPr>
            </w:pPr>
            <w:r w:rsidRPr="00ED016C">
              <w:rPr>
                <w:color w:val="222222"/>
                <w:sz w:val="20"/>
              </w:rPr>
              <w:t>469.176.944.043</w:t>
            </w:r>
          </w:p>
        </w:tc>
        <w:tc>
          <w:tcPr>
            <w:tcW w:w="720" w:type="dxa"/>
            <w:hideMark/>
          </w:tcPr>
          <w:p w:rsidR="00C040CB" w:rsidRPr="00ED016C" w:rsidRDefault="00C040CB" w:rsidP="007C3B89">
            <w:pPr>
              <w:ind w:firstLine="0"/>
              <w:jc w:val="center"/>
              <w:rPr>
                <w:color w:val="222222"/>
                <w:sz w:val="20"/>
              </w:rPr>
            </w:pPr>
            <w:r w:rsidRPr="00ED016C">
              <w:rPr>
                <w:color w:val="222222"/>
                <w:sz w:val="20"/>
              </w:rPr>
              <w:t>16</w:t>
            </w:r>
          </w:p>
        </w:tc>
      </w:tr>
      <w:tr w:rsidR="00C040CB" w:rsidRPr="00ED016C" w:rsidTr="00506112">
        <w:tc>
          <w:tcPr>
            <w:tcW w:w="1276" w:type="dxa"/>
            <w:hideMark/>
          </w:tcPr>
          <w:p w:rsidR="00C040CB" w:rsidRPr="00ED016C" w:rsidRDefault="00C040CB" w:rsidP="00ED016C">
            <w:pPr>
              <w:ind w:firstLine="0"/>
              <w:rPr>
                <w:color w:val="222222"/>
                <w:sz w:val="20"/>
              </w:rPr>
            </w:pPr>
            <w:r w:rsidRPr="00ED016C">
              <w:rPr>
                <w:color w:val="222222"/>
                <w:sz w:val="20"/>
              </w:rPr>
              <w:t>PAD</w:t>
            </w:r>
          </w:p>
        </w:tc>
        <w:tc>
          <w:tcPr>
            <w:tcW w:w="1768" w:type="dxa"/>
            <w:vAlign w:val="bottom"/>
            <w:hideMark/>
          </w:tcPr>
          <w:p w:rsidR="00C040CB" w:rsidRPr="00ED016C" w:rsidRDefault="00C040CB" w:rsidP="007C3B89">
            <w:pPr>
              <w:ind w:firstLine="0"/>
              <w:jc w:val="right"/>
              <w:rPr>
                <w:color w:val="000000"/>
                <w:sz w:val="20"/>
              </w:rPr>
            </w:pPr>
            <w:r w:rsidRPr="00ED016C">
              <w:rPr>
                <w:color w:val="000000"/>
                <w:sz w:val="20"/>
              </w:rPr>
              <w:t>21.435.073.979</w:t>
            </w:r>
          </w:p>
        </w:tc>
        <w:tc>
          <w:tcPr>
            <w:tcW w:w="776" w:type="dxa"/>
            <w:hideMark/>
          </w:tcPr>
          <w:p w:rsidR="00C040CB" w:rsidRPr="00ED016C" w:rsidRDefault="00C040CB" w:rsidP="007C3B89">
            <w:pPr>
              <w:jc w:val="center"/>
              <w:rPr>
                <w:color w:val="000000"/>
                <w:sz w:val="20"/>
              </w:rPr>
            </w:pP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26.267.068.969</w:t>
            </w:r>
          </w:p>
        </w:tc>
        <w:tc>
          <w:tcPr>
            <w:tcW w:w="630" w:type="dxa"/>
            <w:hideMark/>
          </w:tcPr>
          <w:p w:rsidR="00C040CB" w:rsidRPr="00ED016C" w:rsidRDefault="00C040CB" w:rsidP="007C3B89">
            <w:pPr>
              <w:jc w:val="center"/>
              <w:rPr>
                <w:color w:val="000000"/>
                <w:sz w:val="20"/>
              </w:rPr>
            </w:pPr>
          </w:p>
        </w:tc>
        <w:tc>
          <w:tcPr>
            <w:tcW w:w="1710" w:type="dxa"/>
            <w:vAlign w:val="bottom"/>
            <w:hideMark/>
          </w:tcPr>
          <w:p w:rsidR="00C040CB" w:rsidRPr="00ED016C" w:rsidRDefault="00C040CB" w:rsidP="007C3B89">
            <w:pPr>
              <w:ind w:firstLine="0"/>
              <w:jc w:val="right"/>
              <w:rPr>
                <w:color w:val="000000"/>
                <w:sz w:val="20"/>
              </w:rPr>
            </w:pPr>
            <w:r w:rsidRPr="00ED016C">
              <w:rPr>
                <w:color w:val="000000"/>
                <w:sz w:val="20"/>
              </w:rPr>
              <w:t>30.188.760.987</w:t>
            </w:r>
          </w:p>
        </w:tc>
        <w:tc>
          <w:tcPr>
            <w:tcW w:w="630" w:type="dxa"/>
          </w:tcPr>
          <w:p w:rsidR="00C040CB" w:rsidRPr="00ED016C" w:rsidRDefault="00C040CB" w:rsidP="007C3B89">
            <w:pPr>
              <w:jc w:val="center"/>
              <w:rPr>
                <w:color w:val="000000"/>
                <w:sz w:val="20"/>
              </w:rPr>
            </w:pP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25.370.393.456</w:t>
            </w:r>
          </w:p>
        </w:tc>
        <w:tc>
          <w:tcPr>
            <w:tcW w:w="720" w:type="dxa"/>
          </w:tcPr>
          <w:p w:rsidR="00C040CB" w:rsidRPr="00ED016C" w:rsidRDefault="00C040CB" w:rsidP="007C3B89">
            <w:pPr>
              <w:jc w:val="center"/>
              <w:rPr>
                <w:color w:val="000000"/>
                <w:sz w:val="20"/>
              </w:rPr>
            </w:pPr>
          </w:p>
        </w:tc>
      </w:tr>
      <w:tr w:rsidR="00C040CB" w:rsidRPr="00ED016C" w:rsidTr="00506112">
        <w:tc>
          <w:tcPr>
            <w:tcW w:w="1276" w:type="dxa"/>
            <w:hideMark/>
          </w:tcPr>
          <w:p w:rsidR="00C040CB" w:rsidRPr="00ED016C" w:rsidRDefault="00C040CB" w:rsidP="00ED016C">
            <w:pPr>
              <w:ind w:firstLine="0"/>
              <w:rPr>
                <w:color w:val="222222"/>
                <w:sz w:val="20"/>
              </w:rPr>
            </w:pPr>
            <w:r w:rsidRPr="00ED016C">
              <w:rPr>
                <w:color w:val="222222"/>
                <w:sz w:val="20"/>
              </w:rPr>
              <w:t>PAD/APBD</w:t>
            </w:r>
          </w:p>
        </w:tc>
        <w:tc>
          <w:tcPr>
            <w:tcW w:w="1768" w:type="dxa"/>
            <w:hideMark/>
          </w:tcPr>
          <w:p w:rsidR="00C040CB" w:rsidRPr="00ED016C" w:rsidRDefault="00C040CB" w:rsidP="007C3B89">
            <w:pPr>
              <w:jc w:val="right"/>
              <w:rPr>
                <w:color w:val="000000"/>
                <w:sz w:val="20"/>
              </w:rPr>
            </w:pPr>
            <w:r w:rsidRPr="00ED016C">
              <w:rPr>
                <w:color w:val="000000"/>
                <w:sz w:val="20"/>
              </w:rPr>
              <w:t> </w:t>
            </w:r>
          </w:p>
        </w:tc>
        <w:tc>
          <w:tcPr>
            <w:tcW w:w="776" w:type="dxa"/>
            <w:hideMark/>
          </w:tcPr>
          <w:p w:rsidR="00C040CB" w:rsidRPr="00ED016C" w:rsidRDefault="00C040CB" w:rsidP="007C3B89">
            <w:pPr>
              <w:ind w:firstLine="0"/>
              <w:jc w:val="center"/>
              <w:rPr>
                <w:color w:val="000000"/>
                <w:sz w:val="20"/>
              </w:rPr>
            </w:pPr>
            <w:r w:rsidRPr="00ED016C">
              <w:rPr>
                <w:color w:val="000000"/>
                <w:sz w:val="20"/>
              </w:rPr>
              <w:t>3,1</w:t>
            </w:r>
          </w:p>
        </w:tc>
        <w:tc>
          <w:tcPr>
            <w:tcW w:w="1620" w:type="dxa"/>
            <w:hideMark/>
          </w:tcPr>
          <w:p w:rsidR="00C040CB" w:rsidRPr="00ED016C" w:rsidRDefault="00C040CB" w:rsidP="007C3B89">
            <w:pPr>
              <w:jc w:val="right"/>
              <w:rPr>
                <w:color w:val="000000"/>
                <w:sz w:val="20"/>
              </w:rPr>
            </w:pPr>
          </w:p>
        </w:tc>
        <w:tc>
          <w:tcPr>
            <w:tcW w:w="630" w:type="dxa"/>
            <w:hideMark/>
          </w:tcPr>
          <w:p w:rsidR="00C040CB" w:rsidRPr="00ED016C" w:rsidRDefault="00C040CB" w:rsidP="007C3B89">
            <w:pPr>
              <w:ind w:firstLine="0"/>
              <w:jc w:val="center"/>
              <w:rPr>
                <w:color w:val="000000"/>
                <w:sz w:val="20"/>
              </w:rPr>
            </w:pPr>
            <w:r w:rsidRPr="00ED016C">
              <w:rPr>
                <w:color w:val="000000"/>
                <w:sz w:val="20"/>
              </w:rPr>
              <w:t>3,4</w:t>
            </w:r>
          </w:p>
        </w:tc>
        <w:tc>
          <w:tcPr>
            <w:tcW w:w="1710" w:type="dxa"/>
            <w:hideMark/>
          </w:tcPr>
          <w:p w:rsidR="00C040CB" w:rsidRPr="00ED016C" w:rsidRDefault="00C040CB" w:rsidP="007C3B89">
            <w:pPr>
              <w:jc w:val="right"/>
              <w:rPr>
                <w:color w:val="000000"/>
                <w:sz w:val="20"/>
              </w:rPr>
            </w:pPr>
          </w:p>
        </w:tc>
        <w:tc>
          <w:tcPr>
            <w:tcW w:w="630" w:type="dxa"/>
            <w:hideMark/>
          </w:tcPr>
          <w:p w:rsidR="00C040CB" w:rsidRPr="00ED016C" w:rsidRDefault="00C040CB" w:rsidP="007C3B89">
            <w:pPr>
              <w:ind w:firstLine="0"/>
              <w:jc w:val="center"/>
              <w:rPr>
                <w:color w:val="000000"/>
                <w:sz w:val="20"/>
              </w:rPr>
            </w:pPr>
            <w:r w:rsidRPr="00ED016C">
              <w:rPr>
                <w:color w:val="000000"/>
                <w:sz w:val="20"/>
              </w:rPr>
              <w:t>3,6</w:t>
            </w:r>
          </w:p>
        </w:tc>
        <w:tc>
          <w:tcPr>
            <w:tcW w:w="1620" w:type="dxa"/>
          </w:tcPr>
          <w:p w:rsidR="00C040CB" w:rsidRPr="00ED016C" w:rsidRDefault="00C040CB" w:rsidP="007C3B89">
            <w:pPr>
              <w:jc w:val="right"/>
              <w:rPr>
                <w:color w:val="000000"/>
                <w:sz w:val="20"/>
              </w:rPr>
            </w:pPr>
          </w:p>
        </w:tc>
        <w:tc>
          <w:tcPr>
            <w:tcW w:w="720" w:type="dxa"/>
            <w:hideMark/>
          </w:tcPr>
          <w:p w:rsidR="00C040CB" w:rsidRPr="00ED016C" w:rsidRDefault="00C040CB" w:rsidP="007C3B89">
            <w:pPr>
              <w:ind w:firstLine="0"/>
              <w:jc w:val="center"/>
              <w:rPr>
                <w:color w:val="000000"/>
                <w:sz w:val="20"/>
              </w:rPr>
            </w:pPr>
            <w:r w:rsidRPr="00ED016C">
              <w:rPr>
                <w:color w:val="000000"/>
                <w:sz w:val="20"/>
              </w:rPr>
              <w:t>2,6</w:t>
            </w:r>
          </w:p>
        </w:tc>
      </w:tr>
      <w:tr w:rsidR="00C040CB" w:rsidRPr="00ED016C" w:rsidTr="00506112">
        <w:tc>
          <w:tcPr>
            <w:tcW w:w="1276" w:type="dxa"/>
            <w:hideMark/>
          </w:tcPr>
          <w:p w:rsidR="00C040CB" w:rsidRPr="00ED016C" w:rsidRDefault="00C040CB" w:rsidP="00ED016C">
            <w:pPr>
              <w:ind w:firstLine="0"/>
              <w:rPr>
                <w:color w:val="222222"/>
                <w:sz w:val="20"/>
              </w:rPr>
            </w:pPr>
            <w:r w:rsidRPr="00ED016C">
              <w:rPr>
                <w:color w:val="222222"/>
                <w:sz w:val="20"/>
              </w:rPr>
              <w:t>Pajak/APBD</w:t>
            </w:r>
          </w:p>
        </w:tc>
        <w:tc>
          <w:tcPr>
            <w:tcW w:w="1768" w:type="dxa"/>
            <w:vAlign w:val="bottom"/>
            <w:hideMark/>
          </w:tcPr>
          <w:p w:rsidR="00C040CB" w:rsidRPr="00ED016C" w:rsidRDefault="00C040CB" w:rsidP="007C3B89">
            <w:pPr>
              <w:ind w:firstLine="0"/>
              <w:jc w:val="right"/>
              <w:rPr>
                <w:color w:val="000000"/>
                <w:sz w:val="20"/>
              </w:rPr>
            </w:pPr>
            <w:r w:rsidRPr="00ED016C">
              <w:rPr>
                <w:color w:val="000000"/>
                <w:sz w:val="20"/>
              </w:rPr>
              <w:t>1.841.129.500</w:t>
            </w:r>
          </w:p>
        </w:tc>
        <w:tc>
          <w:tcPr>
            <w:tcW w:w="776" w:type="dxa"/>
            <w:hideMark/>
          </w:tcPr>
          <w:p w:rsidR="00C040CB" w:rsidRPr="00ED016C" w:rsidRDefault="00C040CB" w:rsidP="007C3B89">
            <w:pPr>
              <w:ind w:firstLine="0"/>
              <w:jc w:val="center"/>
              <w:rPr>
                <w:color w:val="000000"/>
                <w:sz w:val="20"/>
              </w:rPr>
            </w:pPr>
            <w:r w:rsidRPr="00ED016C">
              <w:rPr>
                <w:color w:val="000000"/>
                <w:sz w:val="20"/>
              </w:rPr>
              <w:t>0,5</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2.845.790.000</w:t>
            </w:r>
          </w:p>
        </w:tc>
        <w:tc>
          <w:tcPr>
            <w:tcW w:w="630" w:type="dxa"/>
            <w:hideMark/>
          </w:tcPr>
          <w:p w:rsidR="00C040CB" w:rsidRPr="00ED016C" w:rsidRDefault="00C040CB" w:rsidP="007C3B89">
            <w:pPr>
              <w:ind w:firstLine="0"/>
              <w:jc w:val="center"/>
              <w:rPr>
                <w:color w:val="000000"/>
                <w:sz w:val="20"/>
              </w:rPr>
            </w:pPr>
            <w:r w:rsidRPr="00ED016C">
              <w:rPr>
                <w:color w:val="000000"/>
                <w:sz w:val="20"/>
              </w:rPr>
              <w:t>0.4</w:t>
            </w:r>
          </w:p>
        </w:tc>
        <w:tc>
          <w:tcPr>
            <w:tcW w:w="1710" w:type="dxa"/>
            <w:vAlign w:val="bottom"/>
            <w:hideMark/>
          </w:tcPr>
          <w:p w:rsidR="00C040CB" w:rsidRPr="00ED016C" w:rsidRDefault="00C040CB" w:rsidP="007C3B89">
            <w:pPr>
              <w:ind w:firstLine="0"/>
              <w:jc w:val="right"/>
              <w:rPr>
                <w:color w:val="000000"/>
                <w:sz w:val="20"/>
              </w:rPr>
            </w:pPr>
            <w:r w:rsidRPr="00ED016C">
              <w:rPr>
                <w:color w:val="000000"/>
                <w:sz w:val="20"/>
              </w:rPr>
              <w:t>3.481.123.800</w:t>
            </w:r>
          </w:p>
        </w:tc>
        <w:tc>
          <w:tcPr>
            <w:tcW w:w="630" w:type="dxa"/>
            <w:hideMark/>
          </w:tcPr>
          <w:p w:rsidR="00C040CB" w:rsidRPr="00ED016C" w:rsidRDefault="00C040CB" w:rsidP="007C3B89">
            <w:pPr>
              <w:ind w:firstLine="0"/>
              <w:jc w:val="center"/>
              <w:rPr>
                <w:color w:val="000000"/>
                <w:sz w:val="20"/>
              </w:rPr>
            </w:pPr>
            <w:r w:rsidRPr="00ED016C">
              <w:rPr>
                <w:color w:val="000000"/>
                <w:sz w:val="20"/>
              </w:rPr>
              <w:t>0,4</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4,878,400,000</w:t>
            </w:r>
          </w:p>
        </w:tc>
        <w:tc>
          <w:tcPr>
            <w:tcW w:w="720" w:type="dxa"/>
            <w:hideMark/>
          </w:tcPr>
          <w:p w:rsidR="00C040CB" w:rsidRPr="00ED016C" w:rsidRDefault="00C040CB" w:rsidP="007C3B89">
            <w:pPr>
              <w:ind w:firstLine="0"/>
              <w:jc w:val="center"/>
              <w:rPr>
                <w:color w:val="000000"/>
                <w:sz w:val="20"/>
              </w:rPr>
            </w:pPr>
            <w:r w:rsidRPr="00ED016C">
              <w:rPr>
                <w:color w:val="000000"/>
                <w:sz w:val="20"/>
              </w:rPr>
              <w:t>0,5</w:t>
            </w:r>
          </w:p>
        </w:tc>
      </w:tr>
      <w:tr w:rsidR="00C040CB" w:rsidRPr="00ED016C" w:rsidTr="00506112">
        <w:tc>
          <w:tcPr>
            <w:tcW w:w="1276" w:type="dxa"/>
            <w:hideMark/>
          </w:tcPr>
          <w:p w:rsidR="00C040CB" w:rsidRPr="00ED016C" w:rsidRDefault="00C040CB" w:rsidP="00ED016C">
            <w:pPr>
              <w:ind w:firstLine="0"/>
              <w:rPr>
                <w:color w:val="222222"/>
                <w:sz w:val="20"/>
              </w:rPr>
            </w:pPr>
            <w:r w:rsidRPr="00ED016C">
              <w:rPr>
                <w:color w:val="222222"/>
                <w:sz w:val="20"/>
              </w:rPr>
              <w:t>Dana Perimbangan</w:t>
            </w:r>
          </w:p>
        </w:tc>
        <w:tc>
          <w:tcPr>
            <w:tcW w:w="1768" w:type="dxa"/>
            <w:vAlign w:val="bottom"/>
            <w:hideMark/>
          </w:tcPr>
          <w:p w:rsidR="00C040CB" w:rsidRPr="00ED016C" w:rsidRDefault="00C040CB" w:rsidP="007C3B89">
            <w:pPr>
              <w:ind w:firstLine="0"/>
              <w:jc w:val="right"/>
              <w:rPr>
                <w:color w:val="000000"/>
                <w:sz w:val="20"/>
              </w:rPr>
            </w:pPr>
            <w:r w:rsidRPr="00ED016C">
              <w:rPr>
                <w:color w:val="000000"/>
                <w:sz w:val="20"/>
              </w:rPr>
              <w:t>269.305.504.894</w:t>
            </w:r>
          </w:p>
        </w:tc>
        <w:tc>
          <w:tcPr>
            <w:tcW w:w="776" w:type="dxa"/>
            <w:hideMark/>
          </w:tcPr>
          <w:p w:rsidR="00C040CB" w:rsidRPr="00ED016C" w:rsidRDefault="00C040CB" w:rsidP="007C3B89">
            <w:pPr>
              <w:ind w:firstLine="0"/>
              <w:jc w:val="center"/>
              <w:rPr>
                <w:color w:val="000000"/>
                <w:sz w:val="20"/>
              </w:rPr>
            </w:pPr>
            <w:r w:rsidRPr="00ED016C">
              <w:rPr>
                <w:color w:val="000000"/>
                <w:sz w:val="20"/>
              </w:rPr>
              <w:t>8,8</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321.683.298.373</w:t>
            </w:r>
          </w:p>
        </w:tc>
        <w:tc>
          <w:tcPr>
            <w:tcW w:w="630" w:type="dxa"/>
            <w:hideMark/>
          </w:tcPr>
          <w:p w:rsidR="00C040CB" w:rsidRPr="00ED016C" w:rsidRDefault="00C040CB" w:rsidP="007C3B89">
            <w:pPr>
              <w:ind w:firstLine="0"/>
              <w:jc w:val="center"/>
              <w:rPr>
                <w:color w:val="000000"/>
                <w:sz w:val="20"/>
              </w:rPr>
            </w:pPr>
            <w:r w:rsidRPr="00ED016C">
              <w:rPr>
                <w:color w:val="000000"/>
                <w:sz w:val="20"/>
              </w:rPr>
              <w:t>41</w:t>
            </w:r>
          </w:p>
        </w:tc>
        <w:tc>
          <w:tcPr>
            <w:tcW w:w="1710" w:type="dxa"/>
            <w:vAlign w:val="bottom"/>
            <w:hideMark/>
          </w:tcPr>
          <w:p w:rsidR="00C040CB" w:rsidRPr="00ED016C" w:rsidRDefault="00C040CB" w:rsidP="007C3B89">
            <w:pPr>
              <w:ind w:firstLine="0"/>
              <w:jc w:val="right"/>
              <w:rPr>
                <w:color w:val="000000"/>
                <w:sz w:val="20"/>
              </w:rPr>
            </w:pPr>
            <w:r w:rsidRPr="00ED016C">
              <w:rPr>
                <w:color w:val="000000"/>
                <w:sz w:val="20"/>
              </w:rPr>
              <w:t>335,886,010,373</w:t>
            </w:r>
          </w:p>
        </w:tc>
        <w:tc>
          <w:tcPr>
            <w:tcW w:w="630" w:type="dxa"/>
            <w:hideMark/>
          </w:tcPr>
          <w:p w:rsidR="00C040CB" w:rsidRPr="00ED016C" w:rsidRDefault="00C040CB" w:rsidP="007C3B89">
            <w:pPr>
              <w:ind w:firstLine="0"/>
              <w:jc w:val="center"/>
              <w:rPr>
                <w:color w:val="000000"/>
                <w:sz w:val="20"/>
              </w:rPr>
            </w:pPr>
            <w:r w:rsidRPr="00ED016C">
              <w:rPr>
                <w:color w:val="000000"/>
                <w:sz w:val="20"/>
              </w:rPr>
              <w:t>40</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397,130,500,711</w:t>
            </w:r>
          </w:p>
        </w:tc>
        <w:tc>
          <w:tcPr>
            <w:tcW w:w="720" w:type="dxa"/>
            <w:hideMark/>
          </w:tcPr>
          <w:p w:rsidR="00C040CB" w:rsidRPr="00ED016C" w:rsidRDefault="00C040CB" w:rsidP="007C3B89">
            <w:pPr>
              <w:ind w:firstLine="0"/>
              <w:jc w:val="center"/>
              <w:rPr>
                <w:color w:val="000000"/>
                <w:sz w:val="20"/>
              </w:rPr>
            </w:pPr>
            <w:r w:rsidRPr="00ED016C">
              <w:rPr>
                <w:color w:val="000000"/>
                <w:sz w:val="20"/>
              </w:rPr>
              <w:t>1,3</w:t>
            </w:r>
          </w:p>
        </w:tc>
      </w:tr>
      <w:tr w:rsidR="00C040CB" w:rsidRPr="00ED016C" w:rsidTr="00506112">
        <w:tc>
          <w:tcPr>
            <w:tcW w:w="1276" w:type="dxa"/>
            <w:hideMark/>
          </w:tcPr>
          <w:p w:rsidR="00C040CB" w:rsidRPr="00ED016C" w:rsidRDefault="00C040CB" w:rsidP="004A16BD">
            <w:pPr>
              <w:ind w:firstLine="0"/>
              <w:rPr>
                <w:color w:val="222222"/>
                <w:sz w:val="20"/>
              </w:rPr>
            </w:pPr>
            <w:r w:rsidRPr="00ED016C">
              <w:rPr>
                <w:color w:val="222222"/>
                <w:sz w:val="20"/>
              </w:rPr>
              <w:t>DAU/APBD</w:t>
            </w:r>
          </w:p>
        </w:tc>
        <w:tc>
          <w:tcPr>
            <w:tcW w:w="1768" w:type="dxa"/>
            <w:vAlign w:val="bottom"/>
            <w:hideMark/>
          </w:tcPr>
          <w:p w:rsidR="00C040CB" w:rsidRPr="00ED016C" w:rsidRDefault="00C040CB" w:rsidP="007C3B89">
            <w:pPr>
              <w:ind w:firstLine="0"/>
              <w:jc w:val="right"/>
              <w:rPr>
                <w:color w:val="000000"/>
                <w:sz w:val="20"/>
              </w:rPr>
            </w:pPr>
            <w:r w:rsidRPr="00ED016C">
              <w:rPr>
                <w:color w:val="000000"/>
                <w:sz w:val="20"/>
              </w:rPr>
              <w:t>237.285.270.000</w:t>
            </w:r>
          </w:p>
        </w:tc>
        <w:tc>
          <w:tcPr>
            <w:tcW w:w="776" w:type="dxa"/>
            <w:hideMark/>
          </w:tcPr>
          <w:p w:rsidR="00C040CB" w:rsidRPr="00ED016C" w:rsidRDefault="00C040CB" w:rsidP="007C3B89">
            <w:pPr>
              <w:ind w:firstLine="0"/>
              <w:jc w:val="center"/>
              <w:rPr>
                <w:color w:val="000000"/>
                <w:sz w:val="20"/>
              </w:rPr>
            </w:pPr>
            <w:r w:rsidRPr="00ED016C">
              <w:rPr>
                <w:color w:val="000000"/>
                <w:sz w:val="20"/>
              </w:rPr>
              <w:t>34,2</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280.495.627.000</w:t>
            </w:r>
          </w:p>
        </w:tc>
        <w:tc>
          <w:tcPr>
            <w:tcW w:w="630" w:type="dxa"/>
            <w:hideMark/>
          </w:tcPr>
          <w:p w:rsidR="00C040CB" w:rsidRPr="00ED016C" w:rsidRDefault="00C040CB" w:rsidP="007C3B89">
            <w:pPr>
              <w:ind w:firstLine="0"/>
              <w:jc w:val="center"/>
              <w:rPr>
                <w:color w:val="000000"/>
                <w:sz w:val="20"/>
              </w:rPr>
            </w:pPr>
            <w:r w:rsidRPr="00ED016C">
              <w:rPr>
                <w:color w:val="000000"/>
                <w:sz w:val="20"/>
              </w:rPr>
              <w:t>35,8</w:t>
            </w:r>
          </w:p>
        </w:tc>
        <w:tc>
          <w:tcPr>
            <w:tcW w:w="1710" w:type="dxa"/>
            <w:vAlign w:val="bottom"/>
            <w:hideMark/>
          </w:tcPr>
          <w:p w:rsidR="00C040CB" w:rsidRPr="00ED016C" w:rsidRDefault="00C040CB" w:rsidP="007C3B89">
            <w:pPr>
              <w:ind w:firstLine="0"/>
              <w:jc w:val="right"/>
              <w:rPr>
                <w:color w:val="000000"/>
                <w:sz w:val="20"/>
              </w:rPr>
            </w:pPr>
            <w:r w:rsidRPr="00ED016C">
              <w:rPr>
                <w:color w:val="000000"/>
                <w:sz w:val="20"/>
              </w:rPr>
              <w:t>318,606,999,000</w:t>
            </w:r>
          </w:p>
        </w:tc>
        <w:tc>
          <w:tcPr>
            <w:tcW w:w="630" w:type="dxa"/>
            <w:hideMark/>
          </w:tcPr>
          <w:p w:rsidR="00C040CB" w:rsidRPr="00ED016C" w:rsidRDefault="00C040CB" w:rsidP="007C3B89">
            <w:pPr>
              <w:jc w:val="center"/>
              <w:rPr>
                <w:color w:val="000000"/>
                <w:sz w:val="20"/>
              </w:rPr>
            </w:pP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354,372,862,000</w:t>
            </w:r>
          </w:p>
        </w:tc>
        <w:tc>
          <w:tcPr>
            <w:tcW w:w="720" w:type="dxa"/>
            <w:hideMark/>
          </w:tcPr>
          <w:p w:rsidR="00C040CB" w:rsidRPr="00ED016C" w:rsidRDefault="00C040CB" w:rsidP="007C3B89">
            <w:pPr>
              <w:ind w:firstLine="0"/>
              <w:jc w:val="center"/>
              <w:rPr>
                <w:color w:val="000000"/>
                <w:sz w:val="20"/>
              </w:rPr>
            </w:pPr>
            <w:r w:rsidRPr="00ED016C">
              <w:rPr>
                <w:color w:val="000000"/>
                <w:sz w:val="20"/>
              </w:rPr>
              <w:t>36,8</w:t>
            </w:r>
          </w:p>
        </w:tc>
      </w:tr>
      <w:tr w:rsidR="00C040CB" w:rsidRPr="00ED016C" w:rsidTr="00506112">
        <w:tc>
          <w:tcPr>
            <w:tcW w:w="1276" w:type="dxa"/>
            <w:hideMark/>
          </w:tcPr>
          <w:p w:rsidR="00C040CB" w:rsidRPr="00ED016C" w:rsidRDefault="00C040CB" w:rsidP="004A16BD">
            <w:pPr>
              <w:ind w:firstLine="0"/>
              <w:rPr>
                <w:color w:val="222222"/>
                <w:sz w:val="20"/>
              </w:rPr>
            </w:pPr>
            <w:r w:rsidRPr="00ED016C">
              <w:rPr>
                <w:color w:val="222222"/>
                <w:sz w:val="20"/>
              </w:rPr>
              <w:t>DAK/APBD</w:t>
            </w:r>
          </w:p>
        </w:tc>
        <w:tc>
          <w:tcPr>
            <w:tcW w:w="1768" w:type="dxa"/>
            <w:vAlign w:val="bottom"/>
            <w:hideMark/>
          </w:tcPr>
          <w:p w:rsidR="00C040CB" w:rsidRPr="00ED016C" w:rsidRDefault="00C040CB" w:rsidP="007C3B89">
            <w:pPr>
              <w:ind w:firstLine="0"/>
              <w:jc w:val="right"/>
              <w:rPr>
                <w:color w:val="000000"/>
                <w:sz w:val="20"/>
              </w:rPr>
            </w:pPr>
            <w:r w:rsidRPr="00ED016C">
              <w:rPr>
                <w:color w:val="000000"/>
                <w:sz w:val="20"/>
              </w:rPr>
              <w:t>19.327.200.000</w:t>
            </w:r>
          </w:p>
        </w:tc>
        <w:tc>
          <w:tcPr>
            <w:tcW w:w="776" w:type="dxa"/>
            <w:hideMark/>
          </w:tcPr>
          <w:p w:rsidR="00C040CB" w:rsidRPr="00ED016C" w:rsidRDefault="00C040CB" w:rsidP="007C3B89">
            <w:pPr>
              <w:ind w:firstLine="0"/>
              <w:jc w:val="center"/>
              <w:rPr>
                <w:color w:val="000000"/>
                <w:sz w:val="20"/>
              </w:rPr>
            </w:pPr>
            <w:r w:rsidRPr="00ED016C">
              <w:rPr>
                <w:color w:val="000000"/>
                <w:sz w:val="20"/>
              </w:rPr>
              <w:t>2,8</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23.908.660.000</w:t>
            </w:r>
          </w:p>
        </w:tc>
        <w:tc>
          <w:tcPr>
            <w:tcW w:w="630" w:type="dxa"/>
            <w:hideMark/>
          </w:tcPr>
          <w:p w:rsidR="00C040CB" w:rsidRPr="00ED016C" w:rsidRDefault="00C040CB" w:rsidP="007C3B89">
            <w:pPr>
              <w:ind w:firstLine="0"/>
              <w:jc w:val="center"/>
              <w:rPr>
                <w:color w:val="000000"/>
                <w:sz w:val="20"/>
              </w:rPr>
            </w:pPr>
            <w:r w:rsidRPr="00ED016C">
              <w:rPr>
                <w:color w:val="000000"/>
                <w:sz w:val="20"/>
              </w:rPr>
              <w:t>3,1</w:t>
            </w:r>
          </w:p>
        </w:tc>
        <w:tc>
          <w:tcPr>
            <w:tcW w:w="1710" w:type="dxa"/>
            <w:vAlign w:val="bottom"/>
            <w:hideMark/>
          </w:tcPr>
          <w:p w:rsidR="00C040CB" w:rsidRPr="00ED016C" w:rsidRDefault="00C040CB" w:rsidP="007C3B89">
            <w:pPr>
              <w:jc w:val="right"/>
              <w:rPr>
                <w:color w:val="000000"/>
                <w:sz w:val="20"/>
              </w:rPr>
            </w:pPr>
          </w:p>
        </w:tc>
        <w:tc>
          <w:tcPr>
            <w:tcW w:w="630" w:type="dxa"/>
            <w:hideMark/>
          </w:tcPr>
          <w:p w:rsidR="00C040CB" w:rsidRPr="00ED016C" w:rsidRDefault="00C040CB" w:rsidP="007C3B89">
            <w:pPr>
              <w:jc w:val="center"/>
              <w:rPr>
                <w:color w:val="000000"/>
                <w:sz w:val="20"/>
              </w:rPr>
            </w:pP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32,287,100,00</w:t>
            </w:r>
          </w:p>
        </w:tc>
        <w:tc>
          <w:tcPr>
            <w:tcW w:w="720" w:type="dxa"/>
            <w:hideMark/>
          </w:tcPr>
          <w:p w:rsidR="00C040CB" w:rsidRPr="00ED016C" w:rsidRDefault="00C040CB" w:rsidP="007C3B89">
            <w:pPr>
              <w:ind w:firstLine="0"/>
              <w:jc w:val="center"/>
              <w:rPr>
                <w:color w:val="000000"/>
                <w:sz w:val="20"/>
              </w:rPr>
            </w:pPr>
            <w:r w:rsidRPr="00ED016C">
              <w:rPr>
                <w:color w:val="000000"/>
                <w:sz w:val="20"/>
              </w:rPr>
              <w:t>3,4</w:t>
            </w:r>
          </w:p>
        </w:tc>
      </w:tr>
      <w:tr w:rsidR="00C040CB" w:rsidRPr="00ED016C" w:rsidTr="00506112">
        <w:tc>
          <w:tcPr>
            <w:tcW w:w="1276" w:type="dxa"/>
            <w:hideMark/>
          </w:tcPr>
          <w:p w:rsidR="00C040CB" w:rsidRPr="00ED016C" w:rsidRDefault="00C040CB" w:rsidP="004A16BD">
            <w:pPr>
              <w:ind w:firstLine="0"/>
              <w:rPr>
                <w:color w:val="222222"/>
                <w:sz w:val="20"/>
              </w:rPr>
            </w:pPr>
            <w:r w:rsidRPr="00ED016C">
              <w:rPr>
                <w:color w:val="222222"/>
                <w:sz w:val="20"/>
              </w:rPr>
              <w:t>DBHP/bukan DBHP</w:t>
            </w:r>
          </w:p>
        </w:tc>
        <w:tc>
          <w:tcPr>
            <w:tcW w:w="1768" w:type="dxa"/>
            <w:vAlign w:val="bottom"/>
            <w:hideMark/>
          </w:tcPr>
          <w:p w:rsidR="00C040CB" w:rsidRPr="00ED016C" w:rsidRDefault="00C040CB" w:rsidP="007C3B89">
            <w:pPr>
              <w:ind w:firstLine="0"/>
              <w:jc w:val="right"/>
              <w:rPr>
                <w:color w:val="000000"/>
                <w:sz w:val="20"/>
              </w:rPr>
            </w:pPr>
            <w:r w:rsidRPr="00ED016C">
              <w:rPr>
                <w:color w:val="000000"/>
                <w:sz w:val="20"/>
              </w:rPr>
              <w:t>12.693.034.894</w:t>
            </w:r>
          </w:p>
        </w:tc>
        <w:tc>
          <w:tcPr>
            <w:tcW w:w="776" w:type="dxa"/>
            <w:hideMark/>
          </w:tcPr>
          <w:p w:rsidR="00C040CB" w:rsidRPr="00ED016C" w:rsidRDefault="00C040CB" w:rsidP="007C3B89">
            <w:pPr>
              <w:ind w:firstLine="0"/>
              <w:jc w:val="center"/>
              <w:rPr>
                <w:color w:val="000000"/>
                <w:sz w:val="20"/>
              </w:rPr>
            </w:pPr>
            <w:r w:rsidRPr="00ED016C">
              <w:rPr>
                <w:color w:val="000000"/>
                <w:sz w:val="20"/>
              </w:rPr>
              <w:t>1,8</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17.279.011.373</w:t>
            </w:r>
          </w:p>
        </w:tc>
        <w:tc>
          <w:tcPr>
            <w:tcW w:w="630" w:type="dxa"/>
            <w:hideMark/>
          </w:tcPr>
          <w:p w:rsidR="00C040CB" w:rsidRPr="00ED016C" w:rsidRDefault="00C040CB" w:rsidP="007C3B89">
            <w:pPr>
              <w:ind w:firstLine="0"/>
              <w:jc w:val="center"/>
              <w:rPr>
                <w:color w:val="000000"/>
                <w:sz w:val="20"/>
              </w:rPr>
            </w:pPr>
            <w:r w:rsidRPr="00ED016C">
              <w:rPr>
                <w:color w:val="000000"/>
                <w:sz w:val="20"/>
              </w:rPr>
              <w:t>2,2</w:t>
            </w:r>
          </w:p>
        </w:tc>
        <w:tc>
          <w:tcPr>
            <w:tcW w:w="1710" w:type="dxa"/>
            <w:vAlign w:val="bottom"/>
            <w:hideMark/>
          </w:tcPr>
          <w:p w:rsidR="00C040CB" w:rsidRPr="00ED016C" w:rsidRDefault="00C040CB" w:rsidP="007C3B89">
            <w:pPr>
              <w:ind w:firstLine="0"/>
              <w:jc w:val="right"/>
              <w:rPr>
                <w:color w:val="000000"/>
                <w:sz w:val="20"/>
              </w:rPr>
            </w:pPr>
            <w:r w:rsidRPr="00ED016C">
              <w:rPr>
                <w:color w:val="000000"/>
                <w:sz w:val="20"/>
              </w:rPr>
              <w:t>17,279,011,373</w:t>
            </w:r>
          </w:p>
        </w:tc>
        <w:tc>
          <w:tcPr>
            <w:tcW w:w="630" w:type="dxa"/>
            <w:hideMark/>
          </w:tcPr>
          <w:p w:rsidR="00C040CB" w:rsidRPr="00ED016C" w:rsidRDefault="00C040CB" w:rsidP="007C3B89">
            <w:pPr>
              <w:ind w:firstLine="0"/>
              <w:jc w:val="center"/>
              <w:rPr>
                <w:color w:val="000000"/>
                <w:sz w:val="20"/>
              </w:rPr>
            </w:pPr>
            <w:r w:rsidRPr="00ED016C">
              <w:rPr>
                <w:color w:val="000000"/>
                <w:sz w:val="20"/>
              </w:rPr>
              <w:t>2,1</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10,470,538,711</w:t>
            </w:r>
          </w:p>
        </w:tc>
        <w:tc>
          <w:tcPr>
            <w:tcW w:w="720" w:type="dxa"/>
            <w:hideMark/>
          </w:tcPr>
          <w:p w:rsidR="00C040CB" w:rsidRPr="00ED016C" w:rsidRDefault="00C040CB" w:rsidP="007C3B89">
            <w:pPr>
              <w:ind w:firstLine="0"/>
              <w:jc w:val="center"/>
              <w:rPr>
                <w:color w:val="000000"/>
                <w:sz w:val="20"/>
              </w:rPr>
            </w:pPr>
            <w:r w:rsidRPr="00ED016C">
              <w:rPr>
                <w:color w:val="000000"/>
                <w:sz w:val="20"/>
              </w:rPr>
              <w:t>1,1</w:t>
            </w:r>
          </w:p>
        </w:tc>
      </w:tr>
      <w:tr w:rsidR="00C040CB" w:rsidRPr="00ED016C" w:rsidTr="00506112">
        <w:tc>
          <w:tcPr>
            <w:tcW w:w="1276" w:type="dxa"/>
            <w:hideMark/>
          </w:tcPr>
          <w:p w:rsidR="00C040CB" w:rsidRPr="00ED016C" w:rsidRDefault="00C040CB" w:rsidP="004A16BD">
            <w:pPr>
              <w:ind w:firstLine="0"/>
              <w:rPr>
                <w:color w:val="222222"/>
                <w:sz w:val="20"/>
              </w:rPr>
            </w:pPr>
            <w:r w:rsidRPr="00ED016C">
              <w:rPr>
                <w:color w:val="222222"/>
                <w:sz w:val="20"/>
              </w:rPr>
              <w:t>Lain lain PAD yang sah</w:t>
            </w:r>
          </w:p>
        </w:tc>
        <w:tc>
          <w:tcPr>
            <w:tcW w:w="1768" w:type="dxa"/>
            <w:vAlign w:val="bottom"/>
            <w:hideMark/>
          </w:tcPr>
          <w:p w:rsidR="00C040CB" w:rsidRPr="00ED016C" w:rsidRDefault="00C040CB" w:rsidP="007C3B89">
            <w:pPr>
              <w:ind w:firstLine="0"/>
              <w:jc w:val="right"/>
              <w:rPr>
                <w:color w:val="000000"/>
                <w:sz w:val="20"/>
              </w:rPr>
            </w:pPr>
            <w:r w:rsidRPr="00ED016C">
              <w:rPr>
                <w:color w:val="000000"/>
                <w:sz w:val="20"/>
              </w:rPr>
              <w:t>13.129.928.240</w:t>
            </w:r>
          </w:p>
        </w:tc>
        <w:tc>
          <w:tcPr>
            <w:tcW w:w="776" w:type="dxa"/>
            <w:hideMark/>
          </w:tcPr>
          <w:p w:rsidR="00C040CB" w:rsidRPr="00ED016C" w:rsidRDefault="00C040CB" w:rsidP="007C3B89">
            <w:pPr>
              <w:ind w:firstLine="0"/>
              <w:jc w:val="center"/>
              <w:rPr>
                <w:color w:val="000000"/>
                <w:sz w:val="20"/>
              </w:rPr>
            </w:pPr>
            <w:r w:rsidRPr="00ED016C">
              <w:rPr>
                <w:color w:val="000000"/>
                <w:sz w:val="20"/>
              </w:rPr>
              <w:t>62</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30.872.463.915</w:t>
            </w:r>
          </w:p>
        </w:tc>
        <w:tc>
          <w:tcPr>
            <w:tcW w:w="630" w:type="dxa"/>
            <w:hideMark/>
          </w:tcPr>
          <w:p w:rsidR="00C040CB" w:rsidRPr="00ED016C" w:rsidRDefault="00C040CB" w:rsidP="007C3B89">
            <w:pPr>
              <w:ind w:firstLine="0"/>
              <w:jc w:val="center"/>
              <w:rPr>
                <w:color w:val="000000"/>
                <w:sz w:val="20"/>
              </w:rPr>
            </w:pPr>
            <w:r w:rsidRPr="00ED016C">
              <w:rPr>
                <w:color w:val="000000"/>
                <w:sz w:val="20"/>
              </w:rPr>
              <w:t>35</w:t>
            </w:r>
          </w:p>
        </w:tc>
        <w:tc>
          <w:tcPr>
            <w:tcW w:w="1710" w:type="dxa"/>
            <w:vAlign w:val="bottom"/>
            <w:hideMark/>
          </w:tcPr>
          <w:p w:rsidR="00C040CB" w:rsidRPr="00ED016C" w:rsidRDefault="00C040CB" w:rsidP="007C3B89">
            <w:pPr>
              <w:ind w:firstLine="0"/>
              <w:jc w:val="right"/>
              <w:rPr>
                <w:color w:val="000000"/>
                <w:sz w:val="20"/>
              </w:rPr>
            </w:pPr>
            <w:r w:rsidRPr="00ED016C">
              <w:rPr>
                <w:color w:val="000000"/>
                <w:sz w:val="20"/>
              </w:rPr>
              <w:t>39.545.366.795</w:t>
            </w:r>
          </w:p>
        </w:tc>
        <w:tc>
          <w:tcPr>
            <w:tcW w:w="630" w:type="dxa"/>
            <w:hideMark/>
          </w:tcPr>
          <w:p w:rsidR="00C040CB" w:rsidRPr="00ED016C" w:rsidRDefault="00C040CB" w:rsidP="007C3B89">
            <w:pPr>
              <w:ind w:firstLine="0"/>
              <w:jc w:val="center"/>
              <w:rPr>
                <w:color w:val="000000"/>
                <w:sz w:val="20"/>
              </w:rPr>
            </w:pPr>
            <w:r w:rsidRPr="00ED016C">
              <w:rPr>
                <w:color w:val="000000"/>
                <w:sz w:val="20"/>
              </w:rPr>
              <w:t>8</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46.676.049.876</w:t>
            </w:r>
          </w:p>
        </w:tc>
        <w:tc>
          <w:tcPr>
            <w:tcW w:w="720" w:type="dxa"/>
            <w:hideMark/>
          </w:tcPr>
          <w:p w:rsidR="00C040CB" w:rsidRPr="00ED016C" w:rsidRDefault="00C040CB" w:rsidP="007C3B89">
            <w:pPr>
              <w:ind w:firstLine="0"/>
              <w:jc w:val="center"/>
              <w:rPr>
                <w:color w:val="000000"/>
                <w:sz w:val="20"/>
              </w:rPr>
            </w:pPr>
            <w:r w:rsidRPr="00ED016C">
              <w:rPr>
                <w:color w:val="000000"/>
                <w:sz w:val="20"/>
              </w:rPr>
              <w:t>8</w:t>
            </w:r>
          </w:p>
        </w:tc>
      </w:tr>
      <w:tr w:rsidR="00C040CB" w:rsidRPr="00ED016C" w:rsidTr="00506112">
        <w:tc>
          <w:tcPr>
            <w:tcW w:w="1276" w:type="dxa"/>
            <w:hideMark/>
          </w:tcPr>
          <w:p w:rsidR="00C040CB" w:rsidRPr="00ED016C" w:rsidRDefault="00C040CB" w:rsidP="004A16BD">
            <w:pPr>
              <w:ind w:firstLine="0"/>
              <w:rPr>
                <w:color w:val="222222"/>
                <w:sz w:val="20"/>
              </w:rPr>
            </w:pPr>
            <w:r w:rsidRPr="00ED016C">
              <w:rPr>
                <w:color w:val="222222"/>
                <w:sz w:val="20"/>
              </w:rPr>
              <w:t xml:space="preserve">Bagi Hasil </w:t>
            </w:r>
            <w:r w:rsidRPr="00ED016C">
              <w:rPr>
                <w:color w:val="222222"/>
                <w:sz w:val="20"/>
              </w:rPr>
              <w:lastRenderedPageBreak/>
              <w:t>Pajak/Bagi hasil bukan pajak</w:t>
            </w:r>
          </w:p>
        </w:tc>
        <w:tc>
          <w:tcPr>
            <w:tcW w:w="1768" w:type="dxa"/>
            <w:vAlign w:val="bottom"/>
            <w:hideMark/>
          </w:tcPr>
          <w:p w:rsidR="00C040CB" w:rsidRPr="00ED016C" w:rsidRDefault="00C040CB" w:rsidP="007C3B89">
            <w:pPr>
              <w:ind w:firstLine="0"/>
              <w:jc w:val="right"/>
              <w:rPr>
                <w:color w:val="000000"/>
                <w:sz w:val="20"/>
              </w:rPr>
            </w:pPr>
            <w:r w:rsidRPr="00ED016C">
              <w:rPr>
                <w:color w:val="000000"/>
                <w:sz w:val="20"/>
              </w:rPr>
              <w:lastRenderedPageBreak/>
              <w:t>7.757.703.240</w:t>
            </w:r>
          </w:p>
        </w:tc>
        <w:tc>
          <w:tcPr>
            <w:tcW w:w="776" w:type="dxa"/>
            <w:hideMark/>
          </w:tcPr>
          <w:p w:rsidR="00C040CB" w:rsidRPr="00ED016C" w:rsidRDefault="00C040CB" w:rsidP="007C3B89">
            <w:pPr>
              <w:ind w:firstLine="0"/>
              <w:jc w:val="center"/>
              <w:rPr>
                <w:color w:val="000000"/>
                <w:sz w:val="20"/>
              </w:rPr>
            </w:pPr>
            <w:r w:rsidRPr="00ED016C">
              <w:rPr>
                <w:color w:val="000000"/>
                <w:sz w:val="20"/>
              </w:rPr>
              <w:t>0</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11.671.080.795</w:t>
            </w:r>
          </w:p>
        </w:tc>
        <w:tc>
          <w:tcPr>
            <w:tcW w:w="630" w:type="dxa"/>
            <w:hideMark/>
          </w:tcPr>
          <w:p w:rsidR="00C040CB" w:rsidRPr="00ED016C" w:rsidRDefault="00C040CB" w:rsidP="007C3B89">
            <w:pPr>
              <w:ind w:firstLine="0"/>
              <w:jc w:val="center"/>
              <w:rPr>
                <w:color w:val="000000"/>
                <w:sz w:val="20"/>
              </w:rPr>
            </w:pPr>
            <w:r w:rsidRPr="00ED016C">
              <w:rPr>
                <w:color w:val="000000"/>
                <w:sz w:val="20"/>
              </w:rPr>
              <w:t>0</w:t>
            </w:r>
          </w:p>
        </w:tc>
        <w:tc>
          <w:tcPr>
            <w:tcW w:w="1710" w:type="dxa"/>
            <w:vAlign w:val="bottom"/>
            <w:hideMark/>
          </w:tcPr>
          <w:p w:rsidR="00C040CB" w:rsidRPr="00ED016C" w:rsidRDefault="00C040CB" w:rsidP="007C3B89">
            <w:pPr>
              <w:ind w:firstLine="0"/>
              <w:jc w:val="right"/>
              <w:rPr>
                <w:color w:val="000000"/>
                <w:sz w:val="20"/>
              </w:rPr>
            </w:pPr>
            <w:r w:rsidRPr="00ED016C">
              <w:rPr>
                <w:color w:val="000000"/>
                <w:sz w:val="20"/>
              </w:rPr>
              <w:t>11.671.080.795</w:t>
            </w:r>
          </w:p>
        </w:tc>
        <w:tc>
          <w:tcPr>
            <w:tcW w:w="630" w:type="dxa"/>
            <w:hideMark/>
          </w:tcPr>
          <w:p w:rsidR="00C040CB" w:rsidRPr="00ED016C" w:rsidRDefault="00C040CB" w:rsidP="001450B2">
            <w:pPr>
              <w:jc w:val="right"/>
              <w:rPr>
                <w:color w:val="000000"/>
                <w:sz w:val="20"/>
              </w:rPr>
            </w:pPr>
            <w:r w:rsidRPr="00ED016C">
              <w:rPr>
                <w:color w:val="000000"/>
                <w:sz w:val="20"/>
              </w:rPr>
              <w:t>0</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6.788.980.836</w:t>
            </w:r>
          </w:p>
        </w:tc>
        <w:tc>
          <w:tcPr>
            <w:tcW w:w="720" w:type="dxa"/>
            <w:hideMark/>
          </w:tcPr>
          <w:p w:rsidR="00C040CB" w:rsidRPr="00ED016C" w:rsidRDefault="00C040CB" w:rsidP="007C3B89">
            <w:pPr>
              <w:ind w:firstLine="0"/>
              <w:jc w:val="center"/>
              <w:rPr>
                <w:color w:val="000000"/>
                <w:sz w:val="20"/>
              </w:rPr>
            </w:pPr>
            <w:r w:rsidRPr="00ED016C">
              <w:rPr>
                <w:color w:val="000000"/>
                <w:sz w:val="20"/>
              </w:rPr>
              <w:t>-42</w:t>
            </w:r>
          </w:p>
        </w:tc>
      </w:tr>
      <w:tr w:rsidR="00C040CB" w:rsidRPr="00ED016C" w:rsidTr="00506112">
        <w:tc>
          <w:tcPr>
            <w:tcW w:w="1276" w:type="dxa"/>
            <w:hideMark/>
          </w:tcPr>
          <w:p w:rsidR="00C040CB" w:rsidRPr="00ED016C" w:rsidRDefault="00C040CB" w:rsidP="004A16BD">
            <w:pPr>
              <w:ind w:firstLine="0"/>
              <w:rPr>
                <w:color w:val="222222"/>
                <w:sz w:val="20"/>
              </w:rPr>
            </w:pPr>
            <w:r w:rsidRPr="00ED016C">
              <w:rPr>
                <w:color w:val="222222"/>
                <w:sz w:val="20"/>
              </w:rPr>
              <w:lastRenderedPageBreak/>
              <w:t>Dana Penyesuaian dan Otonomi khusus</w:t>
            </w:r>
          </w:p>
        </w:tc>
        <w:tc>
          <w:tcPr>
            <w:tcW w:w="1768" w:type="dxa"/>
            <w:vAlign w:val="bottom"/>
            <w:hideMark/>
          </w:tcPr>
          <w:p w:rsidR="00C040CB" w:rsidRPr="00ED016C" w:rsidRDefault="00C040CB" w:rsidP="007C3B89">
            <w:pPr>
              <w:ind w:firstLine="0"/>
              <w:jc w:val="right"/>
              <w:rPr>
                <w:color w:val="000000"/>
                <w:sz w:val="20"/>
              </w:rPr>
            </w:pPr>
            <w:r w:rsidRPr="00ED016C">
              <w:rPr>
                <w:color w:val="000000"/>
                <w:sz w:val="20"/>
              </w:rPr>
              <w:t>5.372.225.000</w:t>
            </w:r>
          </w:p>
        </w:tc>
        <w:tc>
          <w:tcPr>
            <w:tcW w:w="776" w:type="dxa"/>
            <w:hideMark/>
          </w:tcPr>
          <w:p w:rsidR="00C040CB" w:rsidRPr="00ED016C" w:rsidRDefault="00C040CB" w:rsidP="001450B2">
            <w:pPr>
              <w:jc w:val="right"/>
              <w:rPr>
                <w:color w:val="000000"/>
                <w:sz w:val="20"/>
              </w:rPr>
            </w:pP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0</w:t>
            </w:r>
          </w:p>
        </w:tc>
        <w:tc>
          <w:tcPr>
            <w:tcW w:w="630" w:type="dxa"/>
            <w:hideMark/>
          </w:tcPr>
          <w:p w:rsidR="00C040CB" w:rsidRPr="00ED016C" w:rsidRDefault="00C040CB" w:rsidP="004A16BD">
            <w:pPr>
              <w:ind w:firstLine="0"/>
              <w:rPr>
                <w:color w:val="000000"/>
                <w:sz w:val="20"/>
              </w:rPr>
            </w:pPr>
            <w:r w:rsidRPr="00ED016C">
              <w:rPr>
                <w:color w:val="000000"/>
                <w:sz w:val="20"/>
              </w:rPr>
              <w:t>100</w:t>
            </w:r>
          </w:p>
        </w:tc>
        <w:tc>
          <w:tcPr>
            <w:tcW w:w="1710" w:type="dxa"/>
            <w:vAlign w:val="bottom"/>
            <w:hideMark/>
          </w:tcPr>
          <w:p w:rsidR="00C040CB" w:rsidRPr="00ED016C" w:rsidRDefault="00C040CB" w:rsidP="007C3B89">
            <w:pPr>
              <w:ind w:firstLine="0"/>
              <w:jc w:val="right"/>
              <w:rPr>
                <w:color w:val="000000"/>
                <w:sz w:val="20"/>
              </w:rPr>
            </w:pPr>
            <w:r w:rsidRPr="00ED016C">
              <w:rPr>
                <w:color w:val="000000"/>
                <w:sz w:val="20"/>
              </w:rPr>
              <w:t>27.874.286.000</w:t>
            </w:r>
          </w:p>
        </w:tc>
        <w:tc>
          <w:tcPr>
            <w:tcW w:w="630" w:type="dxa"/>
            <w:hideMark/>
          </w:tcPr>
          <w:p w:rsidR="00C040CB" w:rsidRPr="00ED016C" w:rsidRDefault="00C040CB" w:rsidP="001450B2">
            <w:pPr>
              <w:jc w:val="right"/>
              <w:rPr>
                <w:color w:val="000000"/>
                <w:sz w:val="20"/>
              </w:rPr>
            </w:pP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39.887.069.040</w:t>
            </w:r>
          </w:p>
        </w:tc>
        <w:tc>
          <w:tcPr>
            <w:tcW w:w="720" w:type="dxa"/>
            <w:hideMark/>
          </w:tcPr>
          <w:p w:rsidR="00C040CB" w:rsidRPr="00ED016C" w:rsidRDefault="00C040CB" w:rsidP="007C3B89">
            <w:pPr>
              <w:ind w:firstLine="0"/>
              <w:jc w:val="center"/>
              <w:rPr>
                <w:color w:val="000000"/>
                <w:sz w:val="20"/>
              </w:rPr>
            </w:pPr>
            <w:r w:rsidRPr="00ED016C">
              <w:rPr>
                <w:color w:val="000000"/>
                <w:sz w:val="20"/>
              </w:rPr>
              <w:t>43</w:t>
            </w:r>
          </w:p>
        </w:tc>
      </w:tr>
      <w:tr w:rsidR="00C040CB" w:rsidRPr="00ED016C" w:rsidTr="00506112">
        <w:tc>
          <w:tcPr>
            <w:tcW w:w="1276" w:type="dxa"/>
            <w:hideMark/>
          </w:tcPr>
          <w:p w:rsidR="00C040CB" w:rsidRPr="00ED016C" w:rsidRDefault="00C040CB" w:rsidP="004A16BD">
            <w:pPr>
              <w:ind w:firstLine="0"/>
              <w:rPr>
                <w:color w:val="222222"/>
                <w:sz w:val="20"/>
              </w:rPr>
            </w:pPr>
            <w:r w:rsidRPr="00ED016C">
              <w:rPr>
                <w:color w:val="222222"/>
                <w:sz w:val="20"/>
              </w:rPr>
              <w:t>Bantuan keuangan dari provinsi atau pemerintah lainnya</w:t>
            </w:r>
          </w:p>
        </w:tc>
        <w:tc>
          <w:tcPr>
            <w:tcW w:w="1768" w:type="dxa"/>
            <w:vAlign w:val="bottom"/>
            <w:hideMark/>
          </w:tcPr>
          <w:p w:rsidR="00C040CB" w:rsidRPr="00ED016C" w:rsidRDefault="00C040CB" w:rsidP="007C3B89">
            <w:pPr>
              <w:jc w:val="right"/>
              <w:rPr>
                <w:color w:val="000000"/>
                <w:sz w:val="20"/>
              </w:rPr>
            </w:pPr>
          </w:p>
        </w:tc>
        <w:tc>
          <w:tcPr>
            <w:tcW w:w="776" w:type="dxa"/>
            <w:hideMark/>
          </w:tcPr>
          <w:p w:rsidR="00C040CB" w:rsidRPr="00ED016C" w:rsidRDefault="00C040CB" w:rsidP="004A16BD">
            <w:pPr>
              <w:ind w:firstLine="0"/>
              <w:rPr>
                <w:color w:val="000000"/>
                <w:sz w:val="20"/>
              </w:rPr>
            </w:pPr>
            <w:r w:rsidRPr="00ED016C">
              <w:rPr>
                <w:color w:val="000000"/>
                <w:sz w:val="20"/>
              </w:rPr>
              <w:t>-100</w:t>
            </w:r>
          </w:p>
        </w:tc>
        <w:tc>
          <w:tcPr>
            <w:tcW w:w="1620" w:type="dxa"/>
            <w:vAlign w:val="bottom"/>
            <w:hideMark/>
          </w:tcPr>
          <w:p w:rsidR="00C040CB" w:rsidRPr="00ED016C" w:rsidRDefault="00C040CB" w:rsidP="007C3B89">
            <w:pPr>
              <w:ind w:firstLine="0"/>
              <w:jc w:val="right"/>
              <w:rPr>
                <w:color w:val="000000"/>
                <w:sz w:val="20"/>
              </w:rPr>
            </w:pPr>
            <w:r w:rsidRPr="00ED016C">
              <w:rPr>
                <w:color w:val="000000"/>
                <w:sz w:val="20"/>
              </w:rPr>
              <w:t>0</w:t>
            </w:r>
          </w:p>
        </w:tc>
        <w:tc>
          <w:tcPr>
            <w:tcW w:w="630" w:type="dxa"/>
            <w:hideMark/>
          </w:tcPr>
          <w:p w:rsidR="00C040CB" w:rsidRPr="00ED016C" w:rsidRDefault="00C040CB" w:rsidP="001450B2">
            <w:pPr>
              <w:jc w:val="right"/>
              <w:rPr>
                <w:color w:val="000000"/>
                <w:sz w:val="20"/>
              </w:rPr>
            </w:pPr>
          </w:p>
        </w:tc>
        <w:tc>
          <w:tcPr>
            <w:tcW w:w="1710" w:type="dxa"/>
            <w:vAlign w:val="bottom"/>
            <w:hideMark/>
          </w:tcPr>
          <w:p w:rsidR="00C040CB" w:rsidRPr="00ED016C" w:rsidRDefault="00C040CB" w:rsidP="004A16BD">
            <w:pPr>
              <w:ind w:firstLine="0"/>
              <w:rPr>
                <w:color w:val="000000"/>
                <w:sz w:val="20"/>
              </w:rPr>
            </w:pPr>
            <w:r w:rsidRPr="00ED016C">
              <w:rPr>
                <w:color w:val="000000"/>
                <w:sz w:val="20"/>
              </w:rPr>
              <w:t>0</w:t>
            </w:r>
          </w:p>
        </w:tc>
        <w:tc>
          <w:tcPr>
            <w:tcW w:w="630" w:type="dxa"/>
            <w:hideMark/>
          </w:tcPr>
          <w:p w:rsidR="00C040CB" w:rsidRPr="00ED016C" w:rsidRDefault="00C040CB" w:rsidP="001450B2">
            <w:pPr>
              <w:jc w:val="right"/>
              <w:rPr>
                <w:color w:val="000000"/>
                <w:sz w:val="20"/>
              </w:rPr>
            </w:pPr>
            <w:r w:rsidRPr="00ED016C">
              <w:rPr>
                <w:color w:val="000000"/>
                <w:sz w:val="20"/>
              </w:rPr>
              <w:t>0</w:t>
            </w:r>
          </w:p>
        </w:tc>
        <w:tc>
          <w:tcPr>
            <w:tcW w:w="1620" w:type="dxa"/>
            <w:vAlign w:val="bottom"/>
            <w:hideMark/>
          </w:tcPr>
          <w:p w:rsidR="00C040CB" w:rsidRPr="00ED016C" w:rsidRDefault="00C040CB" w:rsidP="001450B2">
            <w:pPr>
              <w:jc w:val="right"/>
              <w:rPr>
                <w:color w:val="000000"/>
                <w:sz w:val="20"/>
              </w:rPr>
            </w:pPr>
          </w:p>
        </w:tc>
        <w:tc>
          <w:tcPr>
            <w:tcW w:w="720" w:type="dxa"/>
            <w:hideMark/>
          </w:tcPr>
          <w:p w:rsidR="00C040CB" w:rsidRPr="00ED016C" w:rsidRDefault="00C040CB" w:rsidP="007C3B89">
            <w:pPr>
              <w:ind w:firstLine="0"/>
              <w:jc w:val="center"/>
              <w:rPr>
                <w:color w:val="000000"/>
                <w:sz w:val="20"/>
              </w:rPr>
            </w:pPr>
            <w:r w:rsidRPr="00ED016C">
              <w:rPr>
                <w:color w:val="000000"/>
                <w:sz w:val="20"/>
              </w:rPr>
              <w:t>0</w:t>
            </w:r>
          </w:p>
        </w:tc>
      </w:tr>
    </w:tbl>
    <w:p w:rsidR="00C040CB" w:rsidRPr="00A67861" w:rsidRDefault="00C040CB" w:rsidP="00C040CB">
      <w:pPr>
        <w:ind w:firstLine="720"/>
        <w:rPr>
          <w:color w:val="000000"/>
          <w:lang w:val="ms-MY"/>
        </w:rPr>
      </w:pPr>
      <w:r w:rsidRPr="00A67861">
        <w:rPr>
          <w:color w:val="000000"/>
          <w:lang w:val="ms-MY"/>
        </w:rPr>
        <w:t>Sumber: diolah dari APBD Kota Solok 2011-2014</w:t>
      </w:r>
    </w:p>
    <w:p w:rsidR="00C040CB" w:rsidRDefault="00C040CB" w:rsidP="002C14DA">
      <w:pPr>
        <w:ind w:firstLine="720"/>
      </w:pPr>
      <w:r>
        <w:rPr>
          <w:szCs w:val="24"/>
        </w:rPr>
        <w:t>Total APBD Kota Solok yang selalu meningkat, juga diiringi dengan peningkatan p</w:t>
      </w:r>
      <w:r w:rsidRPr="00242A06">
        <w:rPr>
          <w:szCs w:val="24"/>
        </w:rPr>
        <w:t>endapatan Kota Solok yang terdiri dari PAD, Dana Perimbangan dan lain-lain Pendapatan Daerah yang sah selama kurun waktu 20</w:t>
      </w:r>
      <w:r>
        <w:rPr>
          <w:szCs w:val="24"/>
        </w:rPr>
        <w:t>11</w:t>
      </w:r>
      <w:r w:rsidRPr="00242A06">
        <w:rPr>
          <w:szCs w:val="24"/>
        </w:rPr>
        <w:t>-201</w:t>
      </w:r>
      <w:r>
        <w:rPr>
          <w:szCs w:val="24"/>
        </w:rPr>
        <w:t>4</w:t>
      </w:r>
      <w:r w:rsidRPr="00242A06">
        <w:rPr>
          <w:szCs w:val="24"/>
        </w:rPr>
        <w:t xml:space="preserve">.  </w:t>
      </w:r>
      <w:r>
        <w:rPr>
          <w:szCs w:val="24"/>
        </w:rPr>
        <w:t xml:space="preserve">Tapi, peningkatan </w:t>
      </w:r>
      <w:r w:rsidRPr="00242A06">
        <w:rPr>
          <w:szCs w:val="24"/>
        </w:rPr>
        <w:t xml:space="preserve">PAD </w:t>
      </w:r>
      <w:r>
        <w:rPr>
          <w:szCs w:val="24"/>
        </w:rPr>
        <w:t xml:space="preserve">yang konsisten selama kurun waktu tersebut, terciderai dengan kembali menurunnya PAD Kota Solok pada Tahun Anggaran 2014.  Kenaikan PAD terbesar yang terjadi pada Tahun Anggaran 2013 yaitu Rp. 30,19 Milyar pada Tahun Anggaran 2014 turun menjadi Rp. </w:t>
      </w:r>
      <w:r w:rsidRPr="00B20ADB">
        <w:rPr>
          <w:color w:val="000000"/>
          <w:szCs w:val="24"/>
        </w:rPr>
        <w:t>25.370.393.456</w:t>
      </w:r>
      <w:r w:rsidRPr="00242A06">
        <w:rPr>
          <w:szCs w:val="24"/>
        </w:rPr>
        <w:t>. PAD Tahun 201</w:t>
      </w:r>
      <w:r>
        <w:rPr>
          <w:szCs w:val="24"/>
        </w:rPr>
        <w:t>3</w:t>
      </w:r>
      <w:r w:rsidRPr="00242A06">
        <w:rPr>
          <w:szCs w:val="24"/>
        </w:rPr>
        <w:t xml:space="preserve"> </w:t>
      </w:r>
      <w:r>
        <w:rPr>
          <w:szCs w:val="24"/>
        </w:rPr>
        <w:t xml:space="preserve">naik dari TA 2012 yang hanya </w:t>
      </w:r>
      <w:r w:rsidRPr="00242A06">
        <w:rPr>
          <w:szCs w:val="24"/>
        </w:rPr>
        <w:t>sebesar Rp. 2</w:t>
      </w:r>
      <w:r>
        <w:rPr>
          <w:szCs w:val="24"/>
        </w:rPr>
        <w:t>6,27 milyar</w:t>
      </w:r>
      <w:r w:rsidRPr="00242A06">
        <w:rPr>
          <w:szCs w:val="24"/>
        </w:rPr>
        <w:t xml:space="preserve"> atau naik sebesar </w:t>
      </w:r>
      <w:r>
        <w:rPr>
          <w:szCs w:val="24"/>
        </w:rPr>
        <w:t xml:space="preserve">14,93% yang </w:t>
      </w:r>
      <w:r w:rsidRPr="00242A06">
        <w:rPr>
          <w:szCs w:val="24"/>
        </w:rPr>
        <w:t>bersumber</w:t>
      </w:r>
      <w:r>
        <w:rPr>
          <w:szCs w:val="24"/>
        </w:rPr>
        <w:t xml:space="preserve"> dari, </w:t>
      </w:r>
      <w:r w:rsidRPr="00242A06">
        <w:rPr>
          <w:szCs w:val="24"/>
        </w:rPr>
        <w:t>sebagai berikut</w:t>
      </w:r>
      <w:r w:rsidR="00C7536B">
        <w:rPr>
          <w:szCs w:val="24"/>
        </w:rPr>
        <w:t xml:space="preserve">; (i) </w:t>
      </w:r>
      <w:r w:rsidRPr="002F58CB">
        <w:t xml:space="preserve">Pajak Daerah naik sebesar Rp. </w:t>
      </w:r>
      <w:r>
        <w:t>3</w:t>
      </w:r>
      <w:r w:rsidRPr="002F58CB">
        <w:t>.</w:t>
      </w:r>
      <w:r>
        <w:t>481</w:t>
      </w:r>
      <w:r w:rsidRPr="002F58CB">
        <w:t>.12</w:t>
      </w:r>
      <w:r>
        <w:t>3</w:t>
      </w:r>
      <w:r w:rsidRPr="002F58CB">
        <w:t>.</w:t>
      </w:r>
      <w:r>
        <w:t>8</w:t>
      </w:r>
      <w:r w:rsidRPr="002F58CB">
        <w:t xml:space="preserve">00 atau </w:t>
      </w:r>
      <w:r>
        <w:t>32,14%</w:t>
      </w:r>
      <w:r w:rsidR="00C7536B">
        <w:t xml:space="preserve">; (ii) </w:t>
      </w:r>
      <w:r w:rsidRPr="002F58CB">
        <w:t xml:space="preserve">Retribusi Daerah naik sebesar Rp. </w:t>
      </w:r>
      <w:r>
        <w:t>8</w:t>
      </w:r>
      <w:r w:rsidRPr="002F58CB">
        <w:t>.</w:t>
      </w:r>
      <w:r>
        <w:t>574</w:t>
      </w:r>
      <w:r w:rsidRPr="002F58CB">
        <w:t>.</w:t>
      </w:r>
      <w:r>
        <w:t>482</w:t>
      </w:r>
      <w:r w:rsidRPr="002F58CB">
        <w:t>.</w:t>
      </w:r>
      <w:r>
        <w:t>272</w:t>
      </w:r>
      <w:r w:rsidRPr="002F58CB">
        <w:t xml:space="preserve"> atau </w:t>
      </w:r>
      <w:r>
        <w:t>49,34</w:t>
      </w:r>
      <w:r w:rsidRPr="002F58CB">
        <w:t>%</w:t>
      </w:r>
      <w:r w:rsidR="00C7536B">
        <w:t xml:space="preserve">; (iii) </w:t>
      </w:r>
      <w:r w:rsidRPr="002F58CB">
        <w:t>Hasil Pengelolalan Kekayaan Daerah yang dipisahkan naik</w:t>
      </w:r>
      <w:r>
        <w:t>, walau tidak signifikan yaitu hanya</w:t>
      </w:r>
      <w:r w:rsidRPr="002F58CB">
        <w:t xml:space="preserve"> sebesar Rp. </w:t>
      </w:r>
      <w:r>
        <w:t>6</w:t>
      </w:r>
      <w:r w:rsidRPr="002F58CB">
        <w:t>.</w:t>
      </w:r>
      <w:r>
        <w:t>720</w:t>
      </w:r>
      <w:r w:rsidRPr="002F58CB">
        <w:t>.0</w:t>
      </w:r>
      <w:r>
        <w:t>15</w:t>
      </w:r>
      <w:r w:rsidRPr="002F58CB">
        <w:t>.</w:t>
      </w:r>
      <w:r>
        <w:t>125,64</w:t>
      </w:r>
      <w:r w:rsidR="002C14DA">
        <w:t xml:space="preserve">; dan (iv) </w:t>
      </w:r>
      <w:r w:rsidRPr="002F58CB">
        <w:t>Sedangkan lain-lain pendapatan asli daerah yang sah naik sebesar Rp. 11.</w:t>
      </w:r>
      <w:r>
        <w:t>413</w:t>
      </w:r>
      <w:r w:rsidRPr="002F58CB">
        <w:t>.1</w:t>
      </w:r>
      <w:r>
        <w:t>39</w:t>
      </w:r>
      <w:r w:rsidRPr="002F58CB">
        <w:t>.</w:t>
      </w:r>
      <w:r>
        <w:t>789</w:t>
      </w:r>
      <w:r w:rsidRPr="002F58CB">
        <w:t xml:space="preserve"> atau </w:t>
      </w:r>
      <w:r>
        <w:t>6</w:t>
      </w:r>
      <w:r w:rsidRPr="002F58CB">
        <w:t>%.</w:t>
      </w:r>
    </w:p>
    <w:p w:rsidR="00C040CB" w:rsidRDefault="00C040CB" w:rsidP="002C14DA">
      <w:pPr>
        <w:widowControl w:val="0"/>
        <w:autoSpaceDE w:val="0"/>
        <w:autoSpaceDN w:val="0"/>
        <w:adjustRightInd w:val="0"/>
        <w:ind w:firstLine="720"/>
        <w:contextualSpacing/>
      </w:pPr>
      <w:r>
        <w:rPr>
          <w:szCs w:val="24"/>
        </w:rPr>
        <w:t>Pada Tahun Anggaran dari sisi perencanaan hal tersebut tidak dapat dipertahankan, dimana PAD Tahun 2014 yang turun sebesar 15,96%.  Tapi dalam kajian ini belum diketahui penyebab penurunan target PAD Kota Solok tersebut. Padahal di sisi yang lain pajak daerah, retribusi, dan hasil pengelolaan kekayaan daerah yang dipisahkan meningkat.  Untuk lebih jelasnya dari sisi penerimaan dapat diketahui sebagai berikut:</w:t>
      </w:r>
      <w:r w:rsidR="002C14DA">
        <w:rPr>
          <w:szCs w:val="24"/>
        </w:rPr>
        <w:t xml:space="preserve"> (i) </w:t>
      </w:r>
      <w:r w:rsidRPr="002F58CB">
        <w:t xml:space="preserve">Pajak Daerah naik sebesar Rp. </w:t>
      </w:r>
      <w:r>
        <w:t>4</w:t>
      </w:r>
      <w:r w:rsidRPr="002F58CB">
        <w:t>.</w:t>
      </w:r>
      <w:r>
        <w:t>878</w:t>
      </w:r>
      <w:r w:rsidRPr="002F58CB">
        <w:t>.</w:t>
      </w:r>
      <w:r>
        <w:t>400</w:t>
      </w:r>
      <w:r w:rsidRPr="002F58CB">
        <w:t>.</w:t>
      </w:r>
      <w:r>
        <w:t>0</w:t>
      </w:r>
      <w:r w:rsidRPr="002F58CB">
        <w:t xml:space="preserve">00 atau </w:t>
      </w:r>
      <w:r>
        <w:t>40,14%</w:t>
      </w:r>
      <w:r w:rsidR="002C14DA">
        <w:t xml:space="preserve">; (ii) </w:t>
      </w:r>
      <w:r w:rsidRPr="002F58CB">
        <w:t xml:space="preserve">Retribusi Daerah naik sebesar Rp. </w:t>
      </w:r>
      <w:r>
        <w:t>9</w:t>
      </w:r>
      <w:r w:rsidRPr="002F58CB">
        <w:t>.</w:t>
      </w:r>
      <w:r>
        <w:t>753</w:t>
      </w:r>
      <w:r w:rsidRPr="002F58CB">
        <w:t>.</w:t>
      </w:r>
      <w:r>
        <w:t>979</w:t>
      </w:r>
      <w:r w:rsidRPr="002F58CB">
        <w:t>.</w:t>
      </w:r>
      <w:r>
        <w:t>126</w:t>
      </w:r>
      <w:r w:rsidRPr="002F58CB">
        <w:t xml:space="preserve"> atau </w:t>
      </w:r>
      <w:r>
        <w:t>13,76</w:t>
      </w:r>
      <w:r w:rsidRPr="002F58CB">
        <w:t>%</w:t>
      </w:r>
      <w:r w:rsidR="002C14DA">
        <w:t xml:space="preserve">; (iii) </w:t>
      </w:r>
      <w:r w:rsidRPr="002F58CB">
        <w:t>Hasil Pengelolalan Kekayaan Daerah yang dipisahkan naik</w:t>
      </w:r>
      <w:r>
        <w:t xml:space="preserve">, </w:t>
      </w:r>
      <w:r w:rsidRPr="002F58CB">
        <w:t xml:space="preserve">sebesar Rp. </w:t>
      </w:r>
      <w:r>
        <w:t>7</w:t>
      </w:r>
      <w:r w:rsidRPr="002F58CB">
        <w:t>.</w:t>
      </w:r>
      <w:r>
        <w:t>173</w:t>
      </w:r>
      <w:r w:rsidRPr="002F58CB">
        <w:t>.</w:t>
      </w:r>
      <w:r>
        <w:t>634</w:t>
      </w:r>
      <w:r w:rsidRPr="002F58CB">
        <w:t>.</w:t>
      </w:r>
      <w:r>
        <w:t>380 atau 6,75%</w:t>
      </w:r>
      <w:r w:rsidR="002C14DA">
        <w:t xml:space="preserve">; dan (iv) </w:t>
      </w:r>
      <w:r w:rsidRPr="002F58CB">
        <w:t xml:space="preserve">Sedangkan lain-lain pendapatan asli daerah yang sah </w:t>
      </w:r>
      <w:r>
        <w:t>turun drastis hanya</w:t>
      </w:r>
      <w:r w:rsidRPr="002F58CB">
        <w:t xml:space="preserve"> sebesar Rp. </w:t>
      </w:r>
      <w:r>
        <w:t>3</w:t>
      </w:r>
      <w:r w:rsidRPr="002F58CB">
        <w:t>.</w:t>
      </w:r>
      <w:r>
        <w:t>564</w:t>
      </w:r>
      <w:r w:rsidRPr="002F58CB">
        <w:t>.</w:t>
      </w:r>
      <w:r>
        <w:t>380</w:t>
      </w:r>
      <w:r w:rsidRPr="002F58CB">
        <w:t>.</w:t>
      </w:r>
      <w:r>
        <w:t>000</w:t>
      </w:r>
      <w:r w:rsidRPr="002F58CB">
        <w:t xml:space="preserve"> atau </w:t>
      </w:r>
      <w:r>
        <w:t>-68,77</w:t>
      </w:r>
      <w:r w:rsidRPr="002F58CB">
        <w:t>%.</w:t>
      </w:r>
    </w:p>
    <w:p w:rsidR="002C14DA" w:rsidRDefault="00C040CB" w:rsidP="002C14DA">
      <w:pPr>
        <w:ind w:firstLine="720"/>
        <w:rPr>
          <w:szCs w:val="24"/>
        </w:rPr>
      </w:pPr>
      <w:r>
        <w:rPr>
          <w:bCs/>
          <w:szCs w:val="24"/>
        </w:rPr>
        <w:t xml:space="preserve">Jika dibandingkan PAD Kota Solok dengan rata-rata PAD nasional (provinsi dan kab/kota), </w:t>
      </w:r>
      <w:r w:rsidR="002C14DA">
        <w:rPr>
          <w:bCs/>
          <w:szCs w:val="24"/>
        </w:rPr>
        <w:t xml:space="preserve">PAD Kota Solok pada Tahun Anggaran 2014 menunjukkan rata-rata di atas Provinsi Sumatera Barat dan Nasional.  Tetapi, jika dilihat kontribusi PAD terhadap pendapatan di bawah rata-rata nasional yang sudah mencapai 17,3%.  Hal ini berarti bahwa Kota Solok harus meningkatkan kontribusi PADnya terhadap pendapatan daerahnya.  Di sisi lain, idealnya </w:t>
      </w:r>
      <w:r w:rsidR="002C14DA">
        <w:rPr>
          <w:bCs/>
          <w:iCs/>
          <w:szCs w:val="24"/>
        </w:rPr>
        <w:t xml:space="preserve">PAD semestinya tidak memberatkan masyarakat miskin dan tidak menyulitkan iklim usaha.  Tapi masih dibutuhkan kajian lebih lanjut apakah penurunan PAD di Kota Solok ini dalam rangka hal tersebut atau penyesuaian target yang lebih realistis yang dapat dicapai oleh pemerintah kota.  Trend kontribusi PAD terhadap sumber pendapatan pada APBD Kota Solok selalu di kisaran 6-7% dalam lima tahun terakhir (2009-2013), tetapi pada Tahun Anggaran 2014 kontribusi PAD Kota Solok terhadap APBD hanya di kisaran 5%.  Walaupun begitu, </w:t>
      </w:r>
      <w:r w:rsidR="002C14DA" w:rsidRPr="0046585C">
        <w:rPr>
          <w:szCs w:val="24"/>
        </w:rPr>
        <w:t xml:space="preserve">PAD yang selalu diatas 15 Milyar yang didapat oleh Kota Solok, menjadikan daerah ini </w:t>
      </w:r>
      <w:r w:rsidR="002C14DA">
        <w:rPr>
          <w:szCs w:val="24"/>
        </w:rPr>
        <w:t xml:space="preserve">pada Tahun Anggaran 2014 kembali menjadi daerah yang </w:t>
      </w:r>
      <w:r w:rsidR="002C14DA" w:rsidRPr="0046585C">
        <w:rPr>
          <w:szCs w:val="24"/>
        </w:rPr>
        <w:t xml:space="preserve">tidak termasuk daerah yang rawan kehancuran ekonomi di era </w:t>
      </w:r>
      <w:r w:rsidR="002C14DA" w:rsidRPr="0046585C">
        <w:rPr>
          <w:szCs w:val="24"/>
        </w:rPr>
        <w:lastRenderedPageBreak/>
        <w:t xml:space="preserve">otonomi daerah. </w:t>
      </w:r>
      <w:r w:rsidR="002C14DA">
        <w:rPr>
          <w:szCs w:val="24"/>
        </w:rPr>
        <w:t>Untuk lebih jelasnya</w:t>
      </w:r>
      <w:r w:rsidR="002C14DA" w:rsidRPr="0046585C">
        <w:rPr>
          <w:szCs w:val="24"/>
        </w:rPr>
        <w:t xml:space="preserve"> </w:t>
      </w:r>
      <w:r w:rsidR="002C14DA">
        <w:rPr>
          <w:bCs/>
          <w:szCs w:val="24"/>
        </w:rPr>
        <w:t>dapat dilihat dari grafik berikut ini: Berdasarkan grafik di  bawah ini:</w:t>
      </w:r>
    </w:p>
    <w:p w:rsidR="00C040CB" w:rsidRPr="002C14DA" w:rsidRDefault="00C040CB" w:rsidP="002C14DA">
      <w:pPr>
        <w:pStyle w:val="NoSpacing"/>
        <w:jc w:val="center"/>
        <w:rPr>
          <w:rFonts w:ascii="Times New Roman" w:hAnsi="Times New Roman" w:cs="Times New Roman"/>
          <w:b/>
          <w:sz w:val="24"/>
          <w:szCs w:val="24"/>
        </w:rPr>
      </w:pPr>
      <w:r w:rsidRPr="002C14DA">
        <w:rPr>
          <w:rFonts w:ascii="Times New Roman" w:hAnsi="Times New Roman" w:cs="Times New Roman"/>
          <w:b/>
          <w:sz w:val="24"/>
          <w:szCs w:val="24"/>
        </w:rPr>
        <w:t xml:space="preserve">Grafik </w:t>
      </w:r>
      <w:r w:rsidR="002C14DA" w:rsidRPr="002C14DA">
        <w:rPr>
          <w:rFonts w:ascii="Times New Roman" w:hAnsi="Times New Roman" w:cs="Times New Roman"/>
          <w:b/>
          <w:sz w:val="24"/>
          <w:szCs w:val="24"/>
        </w:rPr>
        <w:t>3</w:t>
      </w:r>
      <w:r w:rsidRPr="002C14DA">
        <w:rPr>
          <w:rFonts w:ascii="Times New Roman" w:hAnsi="Times New Roman" w:cs="Times New Roman"/>
          <w:b/>
          <w:sz w:val="24"/>
          <w:szCs w:val="24"/>
        </w:rPr>
        <w:t xml:space="preserve"> Perbandingan Pendapatan dan PAD Kota Solok 2010-2014</w:t>
      </w:r>
    </w:p>
    <w:p w:rsidR="00C040CB" w:rsidRDefault="00C040CB" w:rsidP="00BB33F7">
      <w:pPr>
        <w:pStyle w:val="NoSpacing"/>
      </w:pPr>
      <w:r>
        <w:rPr>
          <w:noProof/>
        </w:rPr>
        <w:drawing>
          <wp:inline distT="0" distB="0" distL="0" distR="0">
            <wp:extent cx="5202925" cy="2232837"/>
            <wp:effectExtent l="19050" t="0" r="0" b="0"/>
            <wp:docPr id="8"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3" cstate="print"/>
                    <a:srcRect/>
                    <a:stretch>
                      <a:fillRect/>
                    </a:stretch>
                  </pic:blipFill>
                  <pic:spPr bwMode="auto">
                    <a:xfrm>
                      <a:off x="0" y="0"/>
                      <a:ext cx="5210175" cy="2235948"/>
                    </a:xfrm>
                    <a:prstGeom prst="rect">
                      <a:avLst/>
                    </a:prstGeom>
                    <a:noFill/>
                    <a:ln w="9525">
                      <a:noFill/>
                      <a:miter lim="800000"/>
                      <a:headEnd/>
                      <a:tailEnd/>
                    </a:ln>
                  </pic:spPr>
                </pic:pic>
              </a:graphicData>
            </a:graphic>
          </wp:inline>
        </w:drawing>
      </w:r>
    </w:p>
    <w:p w:rsidR="00C040CB" w:rsidRPr="00A67861" w:rsidRDefault="00C040CB" w:rsidP="002C14DA">
      <w:pPr>
        <w:pStyle w:val="NoSpacing"/>
        <w:ind w:firstLine="720"/>
      </w:pPr>
      <w:r w:rsidRPr="00A67861">
        <w:t>Sumber: diolah dari APBD Kota Solok 2010-2014</w:t>
      </w:r>
    </w:p>
    <w:p w:rsidR="002C14DA" w:rsidRDefault="002C14DA" w:rsidP="002C14DA">
      <w:pPr>
        <w:widowControl w:val="0"/>
        <w:autoSpaceDE w:val="0"/>
        <w:autoSpaceDN w:val="0"/>
        <w:adjustRightInd w:val="0"/>
        <w:ind w:firstLine="720"/>
        <w:rPr>
          <w:bCs/>
          <w:iCs/>
          <w:szCs w:val="24"/>
        </w:rPr>
      </w:pPr>
    </w:p>
    <w:p w:rsidR="00C040CB" w:rsidRDefault="00C040CB" w:rsidP="002C14DA">
      <w:pPr>
        <w:widowControl w:val="0"/>
        <w:autoSpaceDE w:val="0"/>
        <w:autoSpaceDN w:val="0"/>
        <w:adjustRightInd w:val="0"/>
        <w:ind w:firstLine="720"/>
        <w:rPr>
          <w:color w:val="000000"/>
          <w:szCs w:val="24"/>
        </w:rPr>
      </w:pPr>
      <w:r>
        <w:rPr>
          <w:bCs/>
          <w:iCs/>
          <w:szCs w:val="24"/>
        </w:rPr>
        <w:t xml:space="preserve">Dana perimbangan Kota Solok dari data </w:t>
      </w:r>
      <w:r w:rsidR="00BC6932">
        <w:rPr>
          <w:bCs/>
          <w:iCs/>
          <w:szCs w:val="24"/>
        </w:rPr>
        <w:t>trend</w:t>
      </w:r>
      <w:r>
        <w:rPr>
          <w:bCs/>
          <w:iCs/>
          <w:szCs w:val="24"/>
        </w:rPr>
        <w:t xml:space="preserve"> dana perimbangan Tahun Anggaran 2010-2014 selalu meningkat. </w:t>
      </w:r>
      <w:r>
        <w:rPr>
          <w:color w:val="000000"/>
          <w:szCs w:val="24"/>
        </w:rPr>
        <w:t xml:space="preserve"> Peningkatan paling kecil hanya dicapai pada Tahun Anggaran 2013 yang hanya sebesar 4% atau dengan nominalnya sebanyak Rp. </w:t>
      </w:r>
      <w:r w:rsidRPr="001015E2">
        <w:rPr>
          <w:color w:val="000000"/>
          <w:szCs w:val="24"/>
        </w:rPr>
        <w:t>335</w:t>
      </w:r>
      <w:r>
        <w:rPr>
          <w:color w:val="000000"/>
          <w:szCs w:val="24"/>
        </w:rPr>
        <w:t>.</w:t>
      </w:r>
      <w:r w:rsidRPr="001015E2">
        <w:rPr>
          <w:color w:val="000000"/>
          <w:szCs w:val="24"/>
        </w:rPr>
        <w:t>886</w:t>
      </w:r>
      <w:r>
        <w:rPr>
          <w:color w:val="000000"/>
          <w:szCs w:val="24"/>
        </w:rPr>
        <w:t>.</w:t>
      </w:r>
      <w:r w:rsidRPr="001015E2">
        <w:rPr>
          <w:color w:val="000000"/>
          <w:szCs w:val="24"/>
        </w:rPr>
        <w:t>010</w:t>
      </w:r>
      <w:r>
        <w:rPr>
          <w:color w:val="000000"/>
          <w:szCs w:val="24"/>
        </w:rPr>
        <w:t>.</w:t>
      </w:r>
      <w:r w:rsidRPr="001015E2">
        <w:rPr>
          <w:color w:val="000000"/>
          <w:szCs w:val="24"/>
        </w:rPr>
        <w:t>373</w:t>
      </w:r>
      <w:r>
        <w:rPr>
          <w:color w:val="000000"/>
          <w:szCs w:val="24"/>
        </w:rPr>
        <w:t xml:space="preserve">, malahan pada Tahun Anggaran 2010 mengalami penurunan -7% dibandingkan tahun sebelumnya yaitu hanya sejumlah Rp. 240.541.846.940. sedangkan pada Tahun Anggaran 2012 dan 2014 kembali naik masing-masing sebesar 19 dan 18% atau sebesar Rp. 321.683.298.373 dan Rp. 397.130.500.711.  Sedangkan Dana Alokasi Umum trend 2010 dan 2014 selalu mengalami peningkatan.  Peningkatan paling tinggi dicapai pada Tahun Anggaran 2012 yaitu sebesar 18% atau dengan nominal Rp. 280.495.627.000, sedangkan peningkatan paling rendah terjadi pada Tahun Anggaran 2010 yang hanya sebesar 2% atau dengan nominal sebesar Rp. 210.134.688.000.  sementara dari data perencanaan APBD untuk Tahun Anggaran 2014 penerimaan dari dana DAU meningkat sebesar 11% atau sebanyak Rp. 354.372.682.000.  Peningkatan ini tentunya terkait dengan intensitas perjalanan daerah pejabat daerah Pemerintah Kota Solok ke Jakarta untuk meningkatkan DAU dan DAK.  Dan, Pemerintah Kota Solok tidak mau mengulangi DAK pada Tahun Anggaran 2013 yang tidak didapatkan sama sekali, sehingga pada Tahun Anggaran 2014 DAK Kota Solok direncanakan sebesar Rp. 32.287.100.000.  </w:t>
      </w:r>
    </w:p>
    <w:p w:rsidR="00C040CB" w:rsidRDefault="00C040CB" w:rsidP="00B23901">
      <w:pPr>
        <w:widowControl w:val="0"/>
        <w:autoSpaceDE w:val="0"/>
        <w:autoSpaceDN w:val="0"/>
        <w:adjustRightInd w:val="0"/>
        <w:ind w:firstLine="720"/>
        <w:rPr>
          <w:color w:val="000000"/>
          <w:szCs w:val="24"/>
        </w:rPr>
      </w:pPr>
      <w:r>
        <w:rPr>
          <w:color w:val="000000"/>
          <w:szCs w:val="24"/>
        </w:rPr>
        <w:t xml:space="preserve">Di sisi yang lain, DAU yang dan DAK yang besar ini, kembali membuktikan bahwa ketergantungan pemerintah daerah terhadap dana perimbangan.  Pemerintah Kota Solok dari trend alokasi dana perimbangan terhadap pendapatan selalu di atas 70% seperti rata-rata nasional pada Tahun Anggaran 2010.  Seperti pada Tahun Anggaran 2010 merupakan persentase tertingga yang dicapai oleh Kota Solok dimana 91% pendapatan Kota Solok berasal dari dana perimbangan.  Lalu turun pada Tahun Anggaran 2011 menjadi 86%, dan turun kembali menjadi 85% pada Tahun Anggaran 2012.  Persentase terbaik yang pernah dicapai oleh Pemerintah Kota Solok dari trend anggaran 2010-2014 adalah sebesar 83% pada Tahun Anggaran 2013.  Sedangkan pada Tahun Anggaran 2014 kembali meningkat menjadi 85%.    </w:t>
      </w:r>
    </w:p>
    <w:p w:rsidR="00C040CB" w:rsidRDefault="00C040CB" w:rsidP="00B23901">
      <w:pPr>
        <w:widowControl w:val="0"/>
        <w:autoSpaceDE w:val="0"/>
        <w:autoSpaceDN w:val="0"/>
        <w:adjustRightInd w:val="0"/>
        <w:ind w:firstLine="720"/>
        <w:rPr>
          <w:color w:val="000000"/>
          <w:szCs w:val="24"/>
        </w:rPr>
      </w:pPr>
      <w:r>
        <w:rPr>
          <w:color w:val="000000"/>
          <w:szCs w:val="24"/>
        </w:rPr>
        <w:t xml:space="preserve">Sedangkan trend Dana Bagi Hasil Pajak (DBHP) cenderung fluktuatif.  Setelah stabil pada Tahun Anggaran 2010 dan 2011 dengan anggaran sebanyak Rp. 7.757.703.240, meningkat pada Tahun Anggaran 2012 menjadi Rp. 11.671.080.795, dan dengan jumlah yang sama pada </w:t>
      </w:r>
      <w:r>
        <w:rPr>
          <w:color w:val="000000"/>
          <w:szCs w:val="24"/>
        </w:rPr>
        <w:lastRenderedPageBreak/>
        <w:t xml:space="preserve">Tahun Anggaran 2013, tetapi pada Tahun Anggaran 2014 menurun menjadi Rp. 6.788.980.836.  Sementara pendapatan APBD dari alokasi anggaran Bukan DBHP trend yang ditunjukkan juga fluktuatif.  Tidak terdapat penerimaan pada Tahun Anggaran 2010, tapi pada Tahun Anggaran 2011 dialokasikan sebesar Rp. 5.372.225.000.  kembali tidak terdapat penerimaan pada Tahun Anggaran 2012, tetapi mengalami kenaikan yang signifikan pada Tahun Anggaran 2013 dan 2014 yaitu masing-masing sebesar Rp. 27.874.286.000 dan Rp.39.887.069.040.  Hal ini berkebalikan dengan penerimaan dalam APBD Kota Solok untuk alokasi penerimaan Bantuan Keuangan dari Provinis atau pemerintah daerah lainnya. Dari trend anggaran 2010-204, Pemerintah Kota Solok hanya sekali menerima pendapatan dari mata anggaran ini yaitu pada Tahun Anggaran 2010 yaitu sebesar Rp. 300.000.000. </w:t>
      </w:r>
    </w:p>
    <w:p w:rsidR="00C040CB" w:rsidRDefault="00C040CB" w:rsidP="00B23901">
      <w:pPr>
        <w:widowControl w:val="0"/>
        <w:autoSpaceDE w:val="0"/>
        <w:autoSpaceDN w:val="0"/>
        <w:adjustRightInd w:val="0"/>
        <w:ind w:firstLine="720"/>
        <w:rPr>
          <w:color w:val="000000"/>
          <w:szCs w:val="24"/>
        </w:rPr>
      </w:pPr>
      <w:r>
        <w:rPr>
          <w:color w:val="000000"/>
          <w:szCs w:val="24"/>
        </w:rPr>
        <w:t>Secara umum, komposisi pendapatan pada APBD Kota Solok dapat dilihat dari grafik yang menggambarkan persentasi kontribusi PAD, Dana Perimbang dan lain-lain PAD yang sah dapat dilihat dari grafik berikut ini:</w:t>
      </w:r>
    </w:p>
    <w:p w:rsidR="00C040CB" w:rsidRPr="00022667" w:rsidRDefault="00C040CB" w:rsidP="00C040CB">
      <w:pPr>
        <w:widowControl w:val="0"/>
        <w:autoSpaceDE w:val="0"/>
        <w:autoSpaceDN w:val="0"/>
        <w:adjustRightInd w:val="0"/>
        <w:spacing w:line="360" w:lineRule="auto"/>
        <w:jc w:val="center"/>
        <w:rPr>
          <w:b/>
          <w:color w:val="000000"/>
        </w:rPr>
      </w:pPr>
      <w:r w:rsidRPr="00022667">
        <w:rPr>
          <w:b/>
          <w:color w:val="000000"/>
        </w:rPr>
        <w:t xml:space="preserve">Grafik </w:t>
      </w:r>
      <w:r w:rsidR="00506112">
        <w:rPr>
          <w:b/>
          <w:color w:val="000000"/>
        </w:rPr>
        <w:t>4</w:t>
      </w:r>
      <w:r w:rsidRPr="00022667">
        <w:rPr>
          <w:b/>
          <w:color w:val="000000"/>
        </w:rPr>
        <w:t xml:space="preserve"> Tren</w:t>
      </w:r>
      <w:r w:rsidR="00BC6932">
        <w:rPr>
          <w:b/>
          <w:color w:val="000000"/>
        </w:rPr>
        <w:t>d</w:t>
      </w:r>
      <w:r w:rsidRPr="00022667">
        <w:rPr>
          <w:b/>
          <w:color w:val="000000"/>
        </w:rPr>
        <w:t xml:space="preserve"> Perbandingan Pendapatan Kota Solok 2010-2014</w:t>
      </w:r>
    </w:p>
    <w:p w:rsidR="00C040CB" w:rsidRDefault="00C040CB" w:rsidP="00D25D17">
      <w:pPr>
        <w:widowControl w:val="0"/>
        <w:autoSpaceDE w:val="0"/>
        <w:autoSpaceDN w:val="0"/>
        <w:adjustRightInd w:val="0"/>
        <w:spacing w:line="360" w:lineRule="auto"/>
        <w:ind w:firstLine="0"/>
        <w:jc w:val="center"/>
        <w:rPr>
          <w:color w:val="000000"/>
          <w:szCs w:val="24"/>
        </w:rPr>
      </w:pPr>
      <w:r>
        <w:rPr>
          <w:noProof/>
          <w:color w:val="000000"/>
          <w:szCs w:val="24"/>
          <w:lang w:val="en-US"/>
        </w:rPr>
        <w:drawing>
          <wp:inline distT="0" distB="0" distL="0" distR="0">
            <wp:extent cx="5962650" cy="2543175"/>
            <wp:effectExtent l="19050" t="0" r="0" b="0"/>
            <wp:docPr id="7"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4" cstate="print"/>
                    <a:srcRect/>
                    <a:stretch>
                      <a:fillRect/>
                    </a:stretch>
                  </pic:blipFill>
                  <pic:spPr bwMode="auto">
                    <a:xfrm>
                      <a:off x="0" y="0"/>
                      <a:ext cx="5973414" cy="2547766"/>
                    </a:xfrm>
                    <a:prstGeom prst="rect">
                      <a:avLst/>
                    </a:prstGeom>
                    <a:noFill/>
                    <a:ln w="9525">
                      <a:noFill/>
                      <a:miter lim="800000"/>
                      <a:headEnd/>
                      <a:tailEnd/>
                    </a:ln>
                  </pic:spPr>
                </pic:pic>
              </a:graphicData>
            </a:graphic>
          </wp:inline>
        </w:drawing>
      </w:r>
    </w:p>
    <w:p w:rsidR="00D25D17" w:rsidRDefault="00C040CB" w:rsidP="00D25D17">
      <w:pPr>
        <w:ind w:firstLine="720"/>
        <w:rPr>
          <w:color w:val="000000"/>
          <w:lang w:val="ms-MY"/>
        </w:rPr>
      </w:pPr>
      <w:r w:rsidRPr="00022667">
        <w:rPr>
          <w:color w:val="000000"/>
          <w:lang w:val="ms-MY"/>
        </w:rPr>
        <w:t>Sumber: diolah dari APBD Kota Solok 2010-2014</w:t>
      </w:r>
    </w:p>
    <w:p w:rsidR="00D25D17" w:rsidRDefault="00CB191C" w:rsidP="00D25D17">
      <w:pPr>
        <w:ind w:firstLine="720"/>
        <w:rPr>
          <w:color w:val="000000"/>
          <w:lang w:val="ms-MY"/>
        </w:rPr>
      </w:pPr>
      <w:r>
        <w:rPr>
          <w:color w:val="000000"/>
          <w:lang w:val="ms-MY"/>
        </w:rPr>
        <w:t xml:space="preserve">Mardiasmo (2009) menyatakan bahwa anggaran merupakan alat perencanaan manajemen untuk mencapai tujuan organisasi sehingga organisasi akan tahu apa yang harus dilakukan dan ke arah mana kebijakan akan dibuat.  Dalam konteks ini, APBD haruslah berupaya untuk mencapai tujuan pemerintah daerah itu sendiri.  Pada level pemerintah daerah banyak sekali dokumen yang mesti disiapkan oleh pemerintah daerah dalam menjalankan roda pemerintahannya.  Kelengkapan dokumen kebijakan anggaran  belanja daerah dituangkan dalam dokumen perencanaan daerah, yaitu pada Kebijakan Umum APBD, Prioritas dan Plafon Anggaran, Rencana Kerja Pemerintah Daerah (RKPD), dan Rencana Pembangunan Jangka Menengah Daerah (RPJMD).  Menguatkan temuan penelitian sebelumnya, pada kajian kali ini berdasarkan data penelitian yang didapatkan di lapangan, Kota Solok sudah memiliki kelengkapan dokumen perencanaan tersebut.  Artinya, dari kelengkapan dari sisi kebijakan belanja Kota Solok telah dipenuhi dengan baik.  Sehingga modal dasar agar APBD yang disusun berpedoman pada Rencana Kerja Pemerintah Daerah (RKPD) bisa melaksanakan fungsi-fungsi APBD itu sendiri; yaitu fungsi otorisasi, perencanaan, pengawasan, alokasi dan stabilisasi (Bastian, 2009).  Dan, menurut ahli ini, arah kebijakan anggaran banyak dipengaruhi oleh kebijakan ekonomi yang </w:t>
      </w:r>
      <w:r>
        <w:rPr>
          <w:color w:val="000000"/>
          <w:lang w:val="ms-MY"/>
        </w:rPr>
        <w:lastRenderedPageBreak/>
        <w:t xml:space="preserve">bertujuan untuk pertumbuhan ekonomi, pemerataan ekonomi, dan stabilitas ekonomi.  Sehingga kebijakan belanja daerah itu memerlukan manajemen belanja yang akan menyesuaikan arah kebijakan anggaran yang merupakan alat untuk mengimplementasikan kebijakan ekonomi (Mahmudi, 2010).  </w:t>
      </w:r>
    </w:p>
    <w:p w:rsidR="00D25D17" w:rsidRDefault="00CB191C" w:rsidP="00D25D17">
      <w:pPr>
        <w:ind w:firstLine="720"/>
        <w:rPr>
          <w:color w:val="000000"/>
          <w:lang w:val="ms-MY"/>
        </w:rPr>
      </w:pPr>
      <w:r>
        <w:rPr>
          <w:color w:val="000000"/>
          <w:lang w:val="ms-MY"/>
        </w:rPr>
        <w:t>Pada era reformasi keuangan daerah bentuk APBD mengalami perubahan yang cukup mendasar, yaitu didasari oleh Keputusan Menteri Dalam Negeri (Kepmendagri) Nomor 29 Tahun 2002 tentang Pedoman, Pengurusan, Pertanggungjawaban, dan Pengawasan Keuangan Daerah, serta Tata Cara Penyusunan Anggaran dan Pendapatan Belanja Daerah.  Saat ini APBD digunakan berdasarkan Peraturan Menteri Dalam Negeri (Permendagri) Nomor 13 Tahun 2006 tentang Pedoman Pengelolaan Pengelolaan Keuangan Daerah jo. Permendagri Nomor 59 Tahun 2007 jo. Permendagri Nomor 21 Tahun 2011.  Bentuk APBD terdiri atas tiga bagian utama yaitu pendapatan, belanja, dan pembiayaan (katergori baru).  Pos pembiayaan merupakan usaha agar APBD semakin informatif, yaitu memisahkan pinjaman dan pendapatan daerah.  Selain itu pos pembiayaan juga merupakan alokasi surplus atau sumber penutupan defisit anggaran.  Sehingga nomenklatur belanja pelayanan publik pasca reformasi kebijakan penganggaran dalam era desentralisasi di Indonesia mengalami perubahan dalam APBD yang disusun oleh pemerintah daerah.  Belanja pelayanan publik dalam kebijakan sebelumnya terdiri dari belanja; Administrasi Umum, Operasi dan Pemeliharaan, Modal, Bantuan Keuangan dan Tidak Tersangka.  Menjadi belanja yang dapat dibagi menjadi dua bagian yaitu, sebagai berikut</w:t>
      </w:r>
      <w:r w:rsidR="00D25D17">
        <w:rPr>
          <w:color w:val="000000"/>
          <w:lang w:val="ms-MY"/>
        </w:rPr>
        <w:t xml:space="preserve">: (1) </w:t>
      </w:r>
      <w:r>
        <w:rPr>
          <w:color w:val="000000"/>
          <w:lang w:val="ms-MY"/>
        </w:rPr>
        <w:t>Belanja tidak langsung, yaitu belanja yang tidak terkait langsung dengan program dan kegiatan pemerintah daerah.  Belanja tidak langsung diklasifikasikan menjadi belanja pegawai yang berisi gaji dan tunjangan pejabat dan PNS daerah, belanja subsidi, belanja bunga, belanja hibah, belanja bagi hasil, belanja bantuan sosial, belanja bantuan keuang</w:t>
      </w:r>
      <w:r w:rsidR="00D25D17">
        <w:rPr>
          <w:color w:val="000000"/>
          <w:lang w:val="ms-MY"/>
        </w:rPr>
        <w:t xml:space="preserve">an, dan belanja tidak terduga; (2) </w:t>
      </w:r>
      <w:r w:rsidRPr="00221A88">
        <w:rPr>
          <w:color w:val="000000"/>
          <w:lang w:val="ms-MY"/>
        </w:rPr>
        <w:t>Belanja langsung, yaitu belanja yang tidak terkait langsung dengan program dan kegiatan pemerintah daerah.  Belanja langsung dikelompokkan menjadi belanja pegawai yang berisi honorarium, dan penghasilan terkait langsung dengan pelaksanaan kegiatan belanja barang dan jasa, dan belanja modal.</w:t>
      </w:r>
    </w:p>
    <w:p w:rsidR="00CB191C" w:rsidRPr="00D25D17" w:rsidRDefault="00CB191C" w:rsidP="00D25D17">
      <w:pPr>
        <w:ind w:firstLine="720"/>
        <w:rPr>
          <w:b/>
          <w:color w:val="000000"/>
          <w:lang w:val="ms-MY"/>
        </w:rPr>
      </w:pPr>
      <w:r w:rsidRPr="00221A88">
        <w:rPr>
          <w:color w:val="000000"/>
          <w:lang w:val="ms-MY"/>
        </w:rPr>
        <w:t>Berdasarkan data penelitian yang didapatkan di lapangan didapatkan perbandingan antara belanja langsung dan tidak langsung sebagai berikut:</w:t>
      </w:r>
    </w:p>
    <w:p w:rsidR="00CB191C" w:rsidRPr="00D25D17" w:rsidRDefault="00CB191C" w:rsidP="00D25D17">
      <w:pPr>
        <w:pStyle w:val="NoSpacing"/>
        <w:jc w:val="center"/>
        <w:rPr>
          <w:rFonts w:ascii="Times New Roman" w:hAnsi="Times New Roman" w:cs="Times New Roman"/>
          <w:b/>
          <w:sz w:val="24"/>
          <w:szCs w:val="24"/>
        </w:rPr>
      </w:pPr>
      <w:r w:rsidRPr="00D25D17">
        <w:rPr>
          <w:rFonts w:ascii="Times New Roman" w:hAnsi="Times New Roman" w:cs="Times New Roman"/>
          <w:b/>
          <w:sz w:val="24"/>
          <w:szCs w:val="24"/>
        </w:rPr>
        <w:t xml:space="preserve">Tabel </w:t>
      </w:r>
      <w:r w:rsidR="00506112">
        <w:rPr>
          <w:rFonts w:ascii="Times New Roman" w:hAnsi="Times New Roman" w:cs="Times New Roman"/>
          <w:b/>
          <w:sz w:val="24"/>
          <w:szCs w:val="24"/>
        </w:rPr>
        <w:t>3</w:t>
      </w:r>
      <w:r w:rsidRPr="00D25D17">
        <w:rPr>
          <w:rFonts w:ascii="Times New Roman" w:hAnsi="Times New Roman" w:cs="Times New Roman"/>
          <w:b/>
          <w:sz w:val="24"/>
          <w:szCs w:val="24"/>
        </w:rPr>
        <w:t xml:space="preserve"> Perbandingan Belanja Langsung dan Tidak Langsung APBD Kota Solok 2011-2014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92"/>
        <w:gridCol w:w="2378"/>
        <w:gridCol w:w="1836"/>
      </w:tblGrid>
      <w:tr w:rsidR="00CB191C" w:rsidRPr="00605328" w:rsidTr="00D25D17">
        <w:trPr>
          <w:jc w:val="center"/>
        </w:trPr>
        <w:tc>
          <w:tcPr>
            <w:tcW w:w="1548" w:type="dxa"/>
            <w:vMerge w:val="restart"/>
            <w:shd w:val="clear" w:color="auto" w:fill="EEECE1"/>
            <w:vAlign w:val="center"/>
            <w:hideMark/>
          </w:tcPr>
          <w:p w:rsidR="00CB191C" w:rsidRPr="00605328" w:rsidRDefault="00CB191C" w:rsidP="00D25D17">
            <w:pPr>
              <w:ind w:firstLine="0"/>
              <w:jc w:val="center"/>
              <w:rPr>
                <w:b/>
                <w:sz w:val="20"/>
              </w:rPr>
            </w:pPr>
            <w:r w:rsidRPr="00605328">
              <w:rPr>
                <w:b/>
                <w:sz w:val="20"/>
              </w:rPr>
              <w:t>Tahun Anggaran</w:t>
            </w:r>
          </w:p>
        </w:tc>
        <w:tc>
          <w:tcPr>
            <w:tcW w:w="4770" w:type="dxa"/>
            <w:gridSpan w:val="2"/>
            <w:shd w:val="clear" w:color="auto" w:fill="EEECE1"/>
            <w:hideMark/>
          </w:tcPr>
          <w:p w:rsidR="00CB191C" w:rsidRPr="00605328" w:rsidRDefault="00CB191C" w:rsidP="00D25D17">
            <w:pPr>
              <w:jc w:val="center"/>
              <w:rPr>
                <w:b/>
                <w:sz w:val="20"/>
              </w:rPr>
            </w:pPr>
            <w:r w:rsidRPr="00605328">
              <w:rPr>
                <w:b/>
                <w:sz w:val="20"/>
              </w:rPr>
              <w:t>Jenis Belanja</w:t>
            </w:r>
          </w:p>
        </w:tc>
        <w:tc>
          <w:tcPr>
            <w:tcW w:w="1836" w:type="dxa"/>
            <w:vMerge w:val="restart"/>
            <w:shd w:val="clear" w:color="auto" w:fill="EEECE1"/>
            <w:hideMark/>
          </w:tcPr>
          <w:p w:rsidR="00CB191C" w:rsidRPr="00605328" w:rsidRDefault="00CB191C" w:rsidP="00D25D17">
            <w:pPr>
              <w:ind w:firstLine="0"/>
              <w:jc w:val="center"/>
              <w:rPr>
                <w:b/>
                <w:sz w:val="20"/>
              </w:rPr>
            </w:pPr>
            <w:r w:rsidRPr="00605328">
              <w:rPr>
                <w:b/>
                <w:sz w:val="20"/>
              </w:rPr>
              <w:t>Persentase</w:t>
            </w:r>
          </w:p>
          <w:p w:rsidR="00CB191C" w:rsidRPr="00605328" w:rsidRDefault="00CB191C" w:rsidP="00D25D17">
            <w:pPr>
              <w:ind w:firstLine="0"/>
              <w:jc w:val="center"/>
              <w:rPr>
                <w:b/>
                <w:sz w:val="20"/>
              </w:rPr>
            </w:pPr>
            <w:r w:rsidRPr="00605328">
              <w:rPr>
                <w:b/>
                <w:sz w:val="20"/>
              </w:rPr>
              <w:t>Perbandingan</w:t>
            </w:r>
          </w:p>
        </w:tc>
      </w:tr>
      <w:tr w:rsidR="00CB191C" w:rsidRPr="00605328" w:rsidTr="00D25D17">
        <w:trPr>
          <w:jc w:val="center"/>
        </w:trPr>
        <w:tc>
          <w:tcPr>
            <w:tcW w:w="0" w:type="auto"/>
            <w:vMerge/>
            <w:vAlign w:val="center"/>
            <w:hideMark/>
          </w:tcPr>
          <w:p w:rsidR="00CB191C" w:rsidRPr="00605328" w:rsidRDefault="00CB191C" w:rsidP="00D25D17">
            <w:pPr>
              <w:jc w:val="center"/>
              <w:rPr>
                <w:b/>
                <w:sz w:val="20"/>
              </w:rPr>
            </w:pPr>
          </w:p>
        </w:tc>
        <w:tc>
          <w:tcPr>
            <w:tcW w:w="2392" w:type="dxa"/>
            <w:shd w:val="clear" w:color="auto" w:fill="EEECE1"/>
            <w:hideMark/>
          </w:tcPr>
          <w:p w:rsidR="00CB191C" w:rsidRPr="00605328" w:rsidRDefault="00CB191C" w:rsidP="00D25D17">
            <w:pPr>
              <w:jc w:val="center"/>
              <w:rPr>
                <w:b/>
                <w:sz w:val="20"/>
              </w:rPr>
            </w:pPr>
            <w:r w:rsidRPr="00605328">
              <w:rPr>
                <w:b/>
                <w:sz w:val="20"/>
              </w:rPr>
              <w:t>Tidak Langsung</w:t>
            </w:r>
          </w:p>
        </w:tc>
        <w:tc>
          <w:tcPr>
            <w:tcW w:w="2378" w:type="dxa"/>
            <w:shd w:val="clear" w:color="auto" w:fill="EEECE1"/>
            <w:hideMark/>
          </w:tcPr>
          <w:p w:rsidR="00CB191C" w:rsidRPr="00605328" w:rsidRDefault="00CB191C" w:rsidP="00D25D17">
            <w:pPr>
              <w:jc w:val="center"/>
              <w:rPr>
                <w:b/>
                <w:sz w:val="20"/>
              </w:rPr>
            </w:pPr>
            <w:r w:rsidRPr="00605328">
              <w:rPr>
                <w:b/>
                <w:sz w:val="20"/>
              </w:rPr>
              <w:t>Langsung</w:t>
            </w:r>
          </w:p>
        </w:tc>
        <w:tc>
          <w:tcPr>
            <w:tcW w:w="0" w:type="auto"/>
            <w:vMerge/>
            <w:vAlign w:val="center"/>
            <w:hideMark/>
          </w:tcPr>
          <w:p w:rsidR="00CB191C" w:rsidRPr="00605328" w:rsidRDefault="00CB191C" w:rsidP="00D25D17">
            <w:pPr>
              <w:jc w:val="center"/>
              <w:rPr>
                <w:b/>
                <w:sz w:val="20"/>
              </w:rPr>
            </w:pPr>
          </w:p>
        </w:tc>
      </w:tr>
      <w:tr w:rsidR="00CB191C" w:rsidRPr="00605328" w:rsidTr="00D25D17">
        <w:trPr>
          <w:jc w:val="center"/>
        </w:trPr>
        <w:tc>
          <w:tcPr>
            <w:tcW w:w="1548" w:type="dxa"/>
            <w:hideMark/>
          </w:tcPr>
          <w:p w:rsidR="00CB191C" w:rsidRPr="00605328" w:rsidRDefault="00CB191C" w:rsidP="00605328">
            <w:pPr>
              <w:ind w:firstLine="0"/>
              <w:jc w:val="center"/>
              <w:rPr>
                <w:sz w:val="20"/>
              </w:rPr>
            </w:pPr>
            <w:r w:rsidRPr="00605328">
              <w:rPr>
                <w:sz w:val="20"/>
              </w:rPr>
              <w:t>2010</w:t>
            </w:r>
          </w:p>
        </w:tc>
        <w:tc>
          <w:tcPr>
            <w:tcW w:w="2392" w:type="dxa"/>
            <w:hideMark/>
          </w:tcPr>
          <w:p w:rsidR="00CB191C" w:rsidRPr="00605328" w:rsidRDefault="00CB191C" w:rsidP="00605328">
            <w:pPr>
              <w:ind w:firstLine="0"/>
              <w:rPr>
                <w:color w:val="000000"/>
                <w:sz w:val="20"/>
              </w:rPr>
            </w:pPr>
            <w:r w:rsidRPr="00605328">
              <w:rPr>
                <w:color w:val="000000"/>
                <w:sz w:val="20"/>
              </w:rPr>
              <w:t>Rp. 202,187,535,270</w:t>
            </w:r>
          </w:p>
        </w:tc>
        <w:tc>
          <w:tcPr>
            <w:tcW w:w="2378" w:type="dxa"/>
            <w:hideMark/>
          </w:tcPr>
          <w:p w:rsidR="00CB191C" w:rsidRPr="00605328" w:rsidRDefault="00CB191C" w:rsidP="00605328">
            <w:pPr>
              <w:ind w:firstLine="0"/>
              <w:rPr>
                <w:color w:val="000000"/>
                <w:sz w:val="20"/>
              </w:rPr>
            </w:pPr>
            <w:r w:rsidRPr="00605328">
              <w:rPr>
                <w:color w:val="000000"/>
                <w:sz w:val="20"/>
              </w:rPr>
              <w:t>Rp. 165,631,587,457</w:t>
            </w:r>
          </w:p>
        </w:tc>
        <w:tc>
          <w:tcPr>
            <w:tcW w:w="1836" w:type="dxa"/>
            <w:hideMark/>
          </w:tcPr>
          <w:p w:rsidR="00CB191C" w:rsidRPr="00605328" w:rsidRDefault="00CB191C" w:rsidP="001450B2">
            <w:pPr>
              <w:jc w:val="center"/>
              <w:rPr>
                <w:sz w:val="20"/>
              </w:rPr>
            </w:pPr>
            <w:r w:rsidRPr="00605328">
              <w:rPr>
                <w:sz w:val="20"/>
              </w:rPr>
              <w:t>55:45</w:t>
            </w:r>
          </w:p>
        </w:tc>
      </w:tr>
      <w:tr w:rsidR="00CB191C" w:rsidRPr="00605328" w:rsidTr="00D25D17">
        <w:trPr>
          <w:jc w:val="center"/>
        </w:trPr>
        <w:tc>
          <w:tcPr>
            <w:tcW w:w="1548" w:type="dxa"/>
            <w:hideMark/>
          </w:tcPr>
          <w:p w:rsidR="00CB191C" w:rsidRPr="00605328" w:rsidRDefault="00CB191C" w:rsidP="00605328">
            <w:pPr>
              <w:ind w:firstLine="0"/>
              <w:jc w:val="center"/>
              <w:rPr>
                <w:sz w:val="20"/>
              </w:rPr>
            </w:pPr>
            <w:r w:rsidRPr="00605328">
              <w:rPr>
                <w:sz w:val="20"/>
              </w:rPr>
              <w:t>2011</w:t>
            </w:r>
          </w:p>
        </w:tc>
        <w:tc>
          <w:tcPr>
            <w:tcW w:w="2392" w:type="dxa"/>
            <w:vAlign w:val="bottom"/>
            <w:hideMark/>
          </w:tcPr>
          <w:p w:rsidR="00CB191C" w:rsidRPr="00605328" w:rsidRDefault="00CB191C" w:rsidP="00605328">
            <w:pPr>
              <w:ind w:firstLine="0"/>
              <w:rPr>
                <w:color w:val="000000"/>
                <w:sz w:val="20"/>
              </w:rPr>
            </w:pPr>
            <w:r w:rsidRPr="00605328">
              <w:rPr>
                <w:color w:val="000000"/>
                <w:sz w:val="20"/>
              </w:rPr>
              <w:t>Rp. 214,339,984,056</w:t>
            </w:r>
          </w:p>
        </w:tc>
        <w:tc>
          <w:tcPr>
            <w:tcW w:w="2378" w:type="dxa"/>
            <w:vAlign w:val="bottom"/>
            <w:hideMark/>
          </w:tcPr>
          <w:p w:rsidR="00CB191C" w:rsidRPr="00605328" w:rsidRDefault="00CB191C" w:rsidP="00605328">
            <w:pPr>
              <w:ind w:firstLine="0"/>
              <w:rPr>
                <w:color w:val="000000"/>
                <w:sz w:val="20"/>
              </w:rPr>
            </w:pPr>
            <w:r w:rsidRPr="00605328">
              <w:rPr>
                <w:color w:val="000000"/>
                <w:sz w:val="20"/>
              </w:rPr>
              <w:t>Rp. 188,301,171,123</w:t>
            </w:r>
          </w:p>
        </w:tc>
        <w:tc>
          <w:tcPr>
            <w:tcW w:w="1836" w:type="dxa"/>
            <w:hideMark/>
          </w:tcPr>
          <w:p w:rsidR="00CB191C" w:rsidRPr="00605328" w:rsidRDefault="00CB191C" w:rsidP="001450B2">
            <w:pPr>
              <w:jc w:val="center"/>
              <w:rPr>
                <w:sz w:val="20"/>
              </w:rPr>
            </w:pPr>
            <w:r w:rsidRPr="00605328">
              <w:rPr>
                <w:sz w:val="20"/>
              </w:rPr>
              <w:t>53:47</w:t>
            </w:r>
          </w:p>
        </w:tc>
      </w:tr>
      <w:tr w:rsidR="00CB191C" w:rsidRPr="00605328" w:rsidTr="00D25D17">
        <w:trPr>
          <w:jc w:val="center"/>
        </w:trPr>
        <w:tc>
          <w:tcPr>
            <w:tcW w:w="1548" w:type="dxa"/>
            <w:hideMark/>
          </w:tcPr>
          <w:p w:rsidR="00CB191C" w:rsidRPr="00605328" w:rsidRDefault="00CB191C" w:rsidP="00605328">
            <w:pPr>
              <w:ind w:firstLine="0"/>
              <w:jc w:val="center"/>
              <w:rPr>
                <w:sz w:val="20"/>
              </w:rPr>
            </w:pPr>
            <w:r w:rsidRPr="00605328">
              <w:rPr>
                <w:sz w:val="20"/>
              </w:rPr>
              <w:t>2012</w:t>
            </w:r>
          </w:p>
        </w:tc>
        <w:tc>
          <w:tcPr>
            <w:tcW w:w="2392" w:type="dxa"/>
            <w:vAlign w:val="bottom"/>
            <w:hideMark/>
          </w:tcPr>
          <w:p w:rsidR="00CB191C" w:rsidRPr="00605328" w:rsidRDefault="00CB191C" w:rsidP="00605328">
            <w:pPr>
              <w:ind w:firstLine="0"/>
              <w:rPr>
                <w:color w:val="000000"/>
                <w:sz w:val="20"/>
              </w:rPr>
            </w:pPr>
            <w:r w:rsidRPr="00605328">
              <w:rPr>
                <w:color w:val="000000"/>
                <w:sz w:val="20"/>
              </w:rPr>
              <w:t>Rp. 217,106,308,604</w:t>
            </w:r>
          </w:p>
        </w:tc>
        <w:tc>
          <w:tcPr>
            <w:tcW w:w="2378" w:type="dxa"/>
            <w:vAlign w:val="bottom"/>
            <w:hideMark/>
          </w:tcPr>
          <w:p w:rsidR="00CB191C" w:rsidRPr="00605328" w:rsidRDefault="00CB191C" w:rsidP="00605328">
            <w:pPr>
              <w:ind w:firstLine="0"/>
              <w:rPr>
                <w:color w:val="000000"/>
                <w:sz w:val="20"/>
              </w:rPr>
            </w:pPr>
            <w:r w:rsidRPr="00605328">
              <w:rPr>
                <w:color w:val="000000"/>
                <w:sz w:val="20"/>
              </w:rPr>
              <w:t>Rp. 218,809,121,135</w:t>
            </w:r>
          </w:p>
        </w:tc>
        <w:tc>
          <w:tcPr>
            <w:tcW w:w="1836" w:type="dxa"/>
            <w:hideMark/>
          </w:tcPr>
          <w:p w:rsidR="00CB191C" w:rsidRPr="00605328" w:rsidRDefault="00CB191C" w:rsidP="001450B2">
            <w:pPr>
              <w:jc w:val="center"/>
              <w:rPr>
                <w:sz w:val="20"/>
              </w:rPr>
            </w:pPr>
            <w:r w:rsidRPr="00605328">
              <w:rPr>
                <w:sz w:val="20"/>
              </w:rPr>
              <w:t>49:51</w:t>
            </w:r>
          </w:p>
        </w:tc>
      </w:tr>
      <w:tr w:rsidR="00CB191C" w:rsidRPr="00605328" w:rsidTr="00D25D17">
        <w:trPr>
          <w:jc w:val="center"/>
        </w:trPr>
        <w:tc>
          <w:tcPr>
            <w:tcW w:w="1548" w:type="dxa"/>
            <w:hideMark/>
          </w:tcPr>
          <w:p w:rsidR="00CB191C" w:rsidRPr="00605328" w:rsidRDefault="00CB191C" w:rsidP="00605328">
            <w:pPr>
              <w:ind w:firstLine="0"/>
              <w:jc w:val="center"/>
              <w:rPr>
                <w:sz w:val="20"/>
              </w:rPr>
            </w:pPr>
            <w:r w:rsidRPr="00605328">
              <w:rPr>
                <w:sz w:val="20"/>
              </w:rPr>
              <w:t>2013</w:t>
            </w:r>
          </w:p>
        </w:tc>
        <w:tc>
          <w:tcPr>
            <w:tcW w:w="2392" w:type="dxa"/>
            <w:vAlign w:val="bottom"/>
            <w:hideMark/>
          </w:tcPr>
          <w:p w:rsidR="00CB191C" w:rsidRPr="00605328" w:rsidRDefault="00CB191C" w:rsidP="00605328">
            <w:pPr>
              <w:ind w:firstLine="0"/>
              <w:rPr>
                <w:color w:val="000000"/>
                <w:sz w:val="20"/>
              </w:rPr>
            </w:pPr>
            <w:r w:rsidRPr="00605328">
              <w:rPr>
                <w:color w:val="000000"/>
                <w:sz w:val="20"/>
              </w:rPr>
              <w:t>Rp. 251,027,935,056</w:t>
            </w:r>
          </w:p>
        </w:tc>
        <w:tc>
          <w:tcPr>
            <w:tcW w:w="2378" w:type="dxa"/>
            <w:vAlign w:val="bottom"/>
            <w:hideMark/>
          </w:tcPr>
          <w:p w:rsidR="00CB191C" w:rsidRPr="00605328" w:rsidRDefault="00CB191C" w:rsidP="00605328">
            <w:pPr>
              <w:ind w:firstLine="0"/>
              <w:rPr>
                <w:color w:val="000000"/>
                <w:sz w:val="20"/>
              </w:rPr>
            </w:pPr>
            <w:r w:rsidRPr="00605328">
              <w:rPr>
                <w:color w:val="000000"/>
                <w:sz w:val="20"/>
              </w:rPr>
              <w:t>Rp. 224,704,975,816</w:t>
            </w:r>
          </w:p>
        </w:tc>
        <w:tc>
          <w:tcPr>
            <w:tcW w:w="1836" w:type="dxa"/>
            <w:hideMark/>
          </w:tcPr>
          <w:p w:rsidR="00CB191C" w:rsidRPr="00605328" w:rsidRDefault="00CB191C" w:rsidP="001450B2">
            <w:pPr>
              <w:jc w:val="center"/>
              <w:rPr>
                <w:sz w:val="20"/>
              </w:rPr>
            </w:pPr>
            <w:r w:rsidRPr="00605328">
              <w:rPr>
                <w:sz w:val="20"/>
              </w:rPr>
              <w:t>53:47</w:t>
            </w:r>
          </w:p>
        </w:tc>
      </w:tr>
      <w:tr w:rsidR="00CB191C" w:rsidRPr="00605328" w:rsidTr="00D25D17">
        <w:trPr>
          <w:jc w:val="center"/>
        </w:trPr>
        <w:tc>
          <w:tcPr>
            <w:tcW w:w="1548" w:type="dxa"/>
            <w:hideMark/>
          </w:tcPr>
          <w:p w:rsidR="00CB191C" w:rsidRPr="00605328" w:rsidRDefault="00CB191C" w:rsidP="00605328">
            <w:pPr>
              <w:ind w:firstLine="0"/>
              <w:jc w:val="center"/>
              <w:rPr>
                <w:sz w:val="20"/>
              </w:rPr>
            </w:pPr>
            <w:r w:rsidRPr="00605328">
              <w:rPr>
                <w:sz w:val="20"/>
              </w:rPr>
              <w:t>2014</w:t>
            </w:r>
          </w:p>
        </w:tc>
        <w:tc>
          <w:tcPr>
            <w:tcW w:w="2392" w:type="dxa"/>
            <w:vAlign w:val="bottom"/>
            <w:hideMark/>
          </w:tcPr>
          <w:p w:rsidR="00CB191C" w:rsidRPr="00605328" w:rsidRDefault="00CB191C" w:rsidP="00605328">
            <w:pPr>
              <w:ind w:firstLine="0"/>
              <w:rPr>
                <w:color w:val="000000"/>
                <w:sz w:val="20"/>
              </w:rPr>
            </w:pPr>
            <w:r w:rsidRPr="00605328">
              <w:rPr>
                <w:color w:val="000000"/>
                <w:sz w:val="20"/>
              </w:rPr>
              <w:t>Rp. 270.660.060.724</w:t>
            </w:r>
          </w:p>
        </w:tc>
        <w:tc>
          <w:tcPr>
            <w:tcW w:w="2378" w:type="dxa"/>
            <w:vAlign w:val="bottom"/>
            <w:hideMark/>
          </w:tcPr>
          <w:p w:rsidR="00CB191C" w:rsidRPr="00605328" w:rsidRDefault="00CB191C" w:rsidP="00605328">
            <w:pPr>
              <w:ind w:firstLine="0"/>
              <w:rPr>
                <w:color w:val="000000"/>
                <w:sz w:val="20"/>
              </w:rPr>
            </w:pPr>
            <w:r w:rsidRPr="00605328">
              <w:rPr>
                <w:color w:val="000000"/>
                <w:sz w:val="20"/>
              </w:rPr>
              <w:t>Rp. 269.071.768.620</w:t>
            </w:r>
          </w:p>
        </w:tc>
        <w:tc>
          <w:tcPr>
            <w:tcW w:w="1836" w:type="dxa"/>
            <w:hideMark/>
          </w:tcPr>
          <w:p w:rsidR="00CB191C" w:rsidRPr="00605328" w:rsidRDefault="00CB191C" w:rsidP="001450B2">
            <w:pPr>
              <w:jc w:val="center"/>
              <w:rPr>
                <w:sz w:val="20"/>
              </w:rPr>
            </w:pPr>
            <w:r w:rsidRPr="00605328">
              <w:rPr>
                <w:sz w:val="20"/>
              </w:rPr>
              <w:t>51:49</w:t>
            </w:r>
          </w:p>
        </w:tc>
      </w:tr>
    </w:tbl>
    <w:p w:rsidR="00D25D17" w:rsidRDefault="00CB191C" w:rsidP="00D25D17">
      <w:pPr>
        <w:autoSpaceDE w:val="0"/>
        <w:autoSpaceDN w:val="0"/>
        <w:adjustRightInd w:val="0"/>
        <w:spacing w:line="360" w:lineRule="auto"/>
        <w:ind w:firstLine="720"/>
        <w:rPr>
          <w:color w:val="000000"/>
          <w:lang w:val="ms-MY"/>
        </w:rPr>
      </w:pPr>
      <w:r w:rsidRPr="00022667">
        <w:rPr>
          <w:color w:val="000000"/>
          <w:lang w:val="ms-MY"/>
        </w:rPr>
        <w:t>Sumber: diolah dari APBD Kota Solok 2010-2014</w:t>
      </w:r>
    </w:p>
    <w:p w:rsidR="00CB191C" w:rsidRPr="00D25D17" w:rsidRDefault="00CB191C" w:rsidP="00D25D17">
      <w:pPr>
        <w:autoSpaceDE w:val="0"/>
        <w:autoSpaceDN w:val="0"/>
        <w:adjustRightInd w:val="0"/>
        <w:ind w:firstLine="720"/>
        <w:rPr>
          <w:rFonts w:cs="Calibri"/>
          <w:b/>
          <w:u w:val="single"/>
        </w:rPr>
      </w:pPr>
      <w:r>
        <w:t xml:space="preserve">Persentase perbandingan antara belanja tidak langsung dengan belanja langsung APBD Kota Solok pada trend anggaran 2010-2014, selalu mengalami perubahan.  Tetapi, alokasi belanja tidak langsung tidak seekstrim pada Tahun Anggaran 2010 yang mencapai 55% dari total anggaran.  Pada Tahun Anggaran 2012 merupakan satu-satunya tahun anggaran yang mengalokasikan belanja langsung lebih besar daripada belanja tidak langsung. Sementara Tahun Anggaran 2014 perbedaan perbandingan antara belanja tidak langsung dan langsung sangat tipis sekali dan cenderung berimbang.  Hal ini paling tidak menunjukkan ada itikad baik pemerintah Kota Solok untuk lebih memprioritaskan belanja untuk rakyat dengan memberikan prioritas yang </w:t>
      </w:r>
      <w:r>
        <w:lastRenderedPageBreak/>
        <w:t>lebih besar kepada belanja langsung dengan meredam belanja tidak langsung dengan perbandingan 51:49.  Hal ini berbanding terbalik dengan data nasional untuk perbandingan belanja tidak langsung dan langsung, seperti yang ditunjukkan oleh grafik di bawah ini:</w:t>
      </w:r>
    </w:p>
    <w:p w:rsidR="00CB191C" w:rsidRPr="00D25D17" w:rsidRDefault="00CB191C" w:rsidP="00D25D17">
      <w:pPr>
        <w:pStyle w:val="NoSpacing"/>
        <w:jc w:val="center"/>
        <w:rPr>
          <w:rFonts w:ascii="Times New Roman" w:hAnsi="Times New Roman" w:cs="Times New Roman"/>
          <w:b/>
          <w:sz w:val="24"/>
          <w:szCs w:val="24"/>
        </w:rPr>
      </w:pPr>
      <w:r w:rsidRPr="00D25D17">
        <w:rPr>
          <w:rFonts w:ascii="Times New Roman" w:hAnsi="Times New Roman" w:cs="Times New Roman"/>
          <w:b/>
          <w:sz w:val="24"/>
          <w:szCs w:val="24"/>
        </w:rPr>
        <w:t xml:space="preserve">Grafik </w:t>
      </w:r>
      <w:r w:rsidR="00506112">
        <w:rPr>
          <w:rFonts w:ascii="Times New Roman" w:hAnsi="Times New Roman" w:cs="Times New Roman"/>
          <w:b/>
          <w:sz w:val="24"/>
          <w:szCs w:val="24"/>
        </w:rPr>
        <w:t>5</w:t>
      </w:r>
      <w:r w:rsidRPr="00D25D17">
        <w:rPr>
          <w:rFonts w:ascii="Times New Roman" w:hAnsi="Times New Roman" w:cs="Times New Roman"/>
          <w:b/>
          <w:sz w:val="24"/>
          <w:szCs w:val="24"/>
        </w:rPr>
        <w:t xml:space="preserve"> Komposisi Nasional Belanja Tidak Langsung dan Langsung Tahun Anggaran 2014</w:t>
      </w:r>
    </w:p>
    <w:p w:rsidR="00CB191C" w:rsidRDefault="00CB191C" w:rsidP="00D25D17">
      <w:pPr>
        <w:pStyle w:val="NoSpacing"/>
      </w:pPr>
      <w:r>
        <w:rPr>
          <w:noProof/>
        </w:rPr>
        <w:drawing>
          <wp:inline distT="0" distB="0" distL="0" distR="0">
            <wp:extent cx="5392827" cy="1786270"/>
            <wp:effectExtent l="1905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l="44595" t="52818" r="11902" b="9792"/>
                    <a:stretch>
                      <a:fillRect/>
                    </a:stretch>
                  </pic:blipFill>
                  <pic:spPr bwMode="auto">
                    <a:xfrm>
                      <a:off x="0" y="0"/>
                      <a:ext cx="5400675" cy="1788870"/>
                    </a:xfrm>
                    <a:prstGeom prst="rect">
                      <a:avLst/>
                    </a:prstGeom>
                    <a:noFill/>
                    <a:ln w="9525">
                      <a:noFill/>
                      <a:miter lim="800000"/>
                      <a:headEnd/>
                      <a:tailEnd/>
                    </a:ln>
                  </pic:spPr>
                </pic:pic>
              </a:graphicData>
            </a:graphic>
          </wp:inline>
        </w:drawing>
      </w:r>
    </w:p>
    <w:p w:rsidR="00D25D17" w:rsidRDefault="00CB191C" w:rsidP="00D25D17">
      <w:pPr>
        <w:spacing w:line="360" w:lineRule="auto"/>
        <w:ind w:firstLine="720"/>
        <w:rPr>
          <w:bCs/>
        </w:rPr>
      </w:pPr>
      <w:r w:rsidRPr="00022667">
        <w:rPr>
          <w:bCs/>
        </w:rPr>
        <w:t>Sumber: keuda.kemendagri.go.id</w:t>
      </w:r>
    </w:p>
    <w:p w:rsidR="00CB191C" w:rsidRPr="00D25D17" w:rsidRDefault="00CB191C" w:rsidP="00D25D17">
      <w:pPr>
        <w:ind w:firstLine="720"/>
        <w:rPr>
          <w:bCs/>
        </w:rPr>
      </w:pPr>
      <w:r>
        <w:t xml:space="preserve">Dengan begitu maka anggaran sebagai instrument pengendalian yang digunakan untuk menghindari adanya pengeluaran yang terlalu besar (overspending), terlalu rendah (underspending), salah sasaran (misappropriation), atau adanya penggunaan yang tidak semestinya (misspending) bekerja dengan baik (Indrayeni dkk, 2013).  Pada pemerintah daerah, anggaran merupakan dokumen politik sebagai bentuk komitmen eksekutif dan kesepakatan legislatif atas  penggunaan dana publik untuk kepentingan tertentu.  Anggaran digunakan untuk memusutusakan prioritas-prioritas dan kebutuhan keuangan terhadap prioritas tertentu. Rencana Kerja Pemerintah Daerah (RKPD) yang merupakan penjabaran dari RPJMD memuat rancangan kerangka ekonomi daerah, prioritas pembangunan daerah, rencana kerja dan pendanaannya, baik yang langsung dilakukan oleh pemerintah daerah maupun yang mendorong partisipasi rakyat.   Dalam konteks ini, DPRD mempunyai peranan penting untuk memperhatikan arah belanja baik pada Belanja Langsung maupun Belanja Tidak Langsung ini dengan memperhatikan azas manfaat yang sebesar-besarnya untuk rakyat.  Sehingga dalam proses penganggaran harus benar-benar terlihat komposisi anggaran yang lebih berpihak kepada kepentingan dan kebutuhan rakyat.  Komposisi belanja tidak langsung dalam tren APBD Kota Solok, misalnya saja untuk belanja pegawai  masih jauh dari porsi ideal sebesar 60% dari total Belanja Tidak Langsung. </w:t>
      </w:r>
    </w:p>
    <w:p w:rsidR="00CB191C" w:rsidRPr="00605328" w:rsidRDefault="00CB191C" w:rsidP="00CB191C">
      <w:pPr>
        <w:pStyle w:val="NoSpacing"/>
        <w:jc w:val="center"/>
        <w:rPr>
          <w:rFonts w:ascii="Times New Roman" w:hAnsi="Times New Roman"/>
          <w:b/>
          <w:sz w:val="24"/>
          <w:szCs w:val="24"/>
        </w:rPr>
      </w:pPr>
      <w:r w:rsidRPr="00605328">
        <w:rPr>
          <w:rFonts w:ascii="Times New Roman" w:hAnsi="Times New Roman"/>
          <w:b/>
          <w:sz w:val="24"/>
          <w:szCs w:val="24"/>
        </w:rPr>
        <w:t xml:space="preserve">Tabel </w:t>
      </w:r>
      <w:r w:rsidR="00506112">
        <w:rPr>
          <w:rFonts w:ascii="Times New Roman" w:hAnsi="Times New Roman"/>
          <w:b/>
          <w:sz w:val="24"/>
          <w:szCs w:val="24"/>
        </w:rPr>
        <w:t>4</w:t>
      </w:r>
      <w:r w:rsidRPr="00605328">
        <w:rPr>
          <w:rFonts w:ascii="Times New Roman" w:hAnsi="Times New Roman"/>
          <w:b/>
          <w:sz w:val="24"/>
          <w:szCs w:val="24"/>
        </w:rPr>
        <w:t xml:space="preserve"> Perbandingan Belanja Pegawai dan Total Belanja Tidak Langsung</w:t>
      </w:r>
    </w:p>
    <w:p w:rsidR="00605328" w:rsidRPr="00022667" w:rsidRDefault="00605328" w:rsidP="00CB191C">
      <w:pPr>
        <w:pStyle w:val="NoSpacing"/>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92"/>
        <w:gridCol w:w="2378"/>
        <w:gridCol w:w="1836"/>
      </w:tblGrid>
      <w:tr w:rsidR="00CB191C" w:rsidRPr="00605328" w:rsidTr="00D25D17">
        <w:trPr>
          <w:jc w:val="center"/>
        </w:trPr>
        <w:tc>
          <w:tcPr>
            <w:tcW w:w="1548" w:type="dxa"/>
            <w:vMerge w:val="restart"/>
            <w:shd w:val="clear" w:color="auto" w:fill="EEECE1"/>
            <w:vAlign w:val="center"/>
            <w:hideMark/>
          </w:tcPr>
          <w:p w:rsidR="00CB191C" w:rsidRPr="00605328" w:rsidRDefault="00CB191C" w:rsidP="00605328">
            <w:pPr>
              <w:ind w:firstLine="0"/>
              <w:jc w:val="center"/>
              <w:rPr>
                <w:b/>
                <w:sz w:val="20"/>
              </w:rPr>
            </w:pPr>
            <w:r w:rsidRPr="00605328">
              <w:rPr>
                <w:b/>
                <w:sz w:val="20"/>
              </w:rPr>
              <w:t>Tahun Anggaran</w:t>
            </w:r>
          </w:p>
        </w:tc>
        <w:tc>
          <w:tcPr>
            <w:tcW w:w="4770" w:type="dxa"/>
            <w:gridSpan w:val="2"/>
            <w:shd w:val="clear" w:color="auto" w:fill="EEECE1"/>
            <w:hideMark/>
          </w:tcPr>
          <w:p w:rsidR="00CB191C" w:rsidRPr="00605328" w:rsidRDefault="00CB191C" w:rsidP="001450B2">
            <w:pPr>
              <w:jc w:val="center"/>
              <w:rPr>
                <w:b/>
                <w:sz w:val="20"/>
              </w:rPr>
            </w:pPr>
            <w:r w:rsidRPr="00605328">
              <w:rPr>
                <w:b/>
                <w:sz w:val="20"/>
              </w:rPr>
              <w:t>Perbandingan Belanja Pegawai dengan Total Belanja Tidak Langsung</w:t>
            </w:r>
          </w:p>
        </w:tc>
        <w:tc>
          <w:tcPr>
            <w:tcW w:w="1836" w:type="dxa"/>
            <w:vMerge w:val="restart"/>
            <w:shd w:val="clear" w:color="auto" w:fill="EEECE1"/>
            <w:hideMark/>
          </w:tcPr>
          <w:p w:rsidR="00CB191C" w:rsidRPr="00605328" w:rsidRDefault="00CB191C" w:rsidP="00605328">
            <w:pPr>
              <w:ind w:firstLine="0"/>
              <w:jc w:val="center"/>
              <w:rPr>
                <w:b/>
                <w:sz w:val="20"/>
              </w:rPr>
            </w:pPr>
            <w:r w:rsidRPr="00605328">
              <w:rPr>
                <w:b/>
                <w:sz w:val="20"/>
              </w:rPr>
              <w:t>Persentase (%)Belanja Pegawai</w:t>
            </w:r>
          </w:p>
        </w:tc>
      </w:tr>
      <w:tr w:rsidR="00CB191C" w:rsidRPr="00605328" w:rsidTr="00D25D17">
        <w:trPr>
          <w:jc w:val="center"/>
        </w:trPr>
        <w:tc>
          <w:tcPr>
            <w:tcW w:w="0" w:type="auto"/>
            <w:vMerge/>
            <w:vAlign w:val="center"/>
            <w:hideMark/>
          </w:tcPr>
          <w:p w:rsidR="00CB191C" w:rsidRPr="00605328" w:rsidRDefault="00CB191C" w:rsidP="001450B2">
            <w:pPr>
              <w:rPr>
                <w:b/>
                <w:sz w:val="20"/>
              </w:rPr>
            </w:pPr>
          </w:p>
        </w:tc>
        <w:tc>
          <w:tcPr>
            <w:tcW w:w="2392" w:type="dxa"/>
            <w:shd w:val="clear" w:color="auto" w:fill="EEECE1"/>
            <w:hideMark/>
          </w:tcPr>
          <w:p w:rsidR="00CB191C" w:rsidRPr="00605328" w:rsidRDefault="00CB191C" w:rsidP="001450B2">
            <w:pPr>
              <w:jc w:val="center"/>
              <w:rPr>
                <w:b/>
                <w:sz w:val="20"/>
              </w:rPr>
            </w:pPr>
            <w:r w:rsidRPr="00605328">
              <w:rPr>
                <w:b/>
                <w:sz w:val="20"/>
              </w:rPr>
              <w:t>Tidak Langsung</w:t>
            </w:r>
          </w:p>
        </w:tc>
        <w:tc>
          <w:tcPr>
            <w:tcW w:w="2378" w:type="dxa"/>
            <w:shd w:val="clear" w:color="auto" w:fill="EEECE1"/>
            <w:hideMark/>
          </w:tcPr>
          <w:p w:rsidR="00CB191C" w:rsidRPr="00605328" w:rsidRDefault="00CB191C" w:rsidP="001450B2">
            <w:pPr>
              <w:jc w:val="center"/>
              <w:rPr>
                <w:b/>
                <w:sz w:val="20"/>
              </w:rPr>
            </w:pPr>
            <w:r w:rsidRPr="00605328">
              <w:rPr>
                <w:b/>
                <w:sz w:val="20"/>
              </w:rPr>
              <w:t>Belanja Pegawai</w:t>
            </w:r>
          </w:p>
        </w:tc>
        <w:tc>
          <w:tcPr>
            <w:tcW w:w="0" w:type="auto"/>
            <w:vMerge/>
            <w:vAlign w:val="center"/>
            <w:hideMark/>
          </w:tcPr>
          <w:p w:rsidR="00CB191C" w:rsidRPr="00605328" w:rsidRDefault="00CB191C" w:rsidP="001450B2">
            <w:pPr>
              <w:rPr>
                <w:b/>
                <w:sz w:val="20"/>
              </w:rPr>
            </w:pPr>
          </w:p>
        </w:tc>
      </w:tr>
      <w:tr w:rsidR="00CB191C" w:rsidRPr="00605328" w:rsidTr="00D25D17">
        <w:trPr>
          <w:jc w:val="center"/>
        </w:trPr>
        <w:tc>
          <w:tcPr>
            <w:tcW w:w="1548" w:type="dxa"/>
            <w:hideMark/>
          </w:tcPr>
          <w:p w:rsidR="00CB191C" w:rsidRPr="00605328" w:rsidRDefault="00CB191C" w:rsidP="001450B2">
            <w:pPr>
              <w:jc w:val="center"/>
              <w:rPr>
                <w:sz w:val="20"/>
              </w:rPr>
            </w:pPr>
            <w:r w:rsidRPr="00605328">
              <w:rPr>
                <w:sz w:val="20"/>
              </w:rPr>
              <w:t>2010</w:t>
            </w:r>
          </w:p>
        </w:tc>
        <w:tc>
          <w:tcPr>
            <w:tcW w:w="2392" w:type="dxa"/>
            <w:hideMark/>
          </w:tcPr>
          <w:p w:rsidR="00CB191C" w:rsidRPr="00605328" w:rsidRDefault="00CB191C" w:rsidP="00605328">
            <w:pPr>
              <w:ind w:firstLine="0"/>
              <w:rPr>
                <w:color w:val="000000"/>
                <w:sz w:val="20"/>
              </w:rPr>
            </w:pPr>
            <w:r w:rsidRPr="00605328">
              <w:rPr>
                <w:color w:val="000000"/>
                <w:sz w:val="20"/>
              </w:rPr>
              <w:t>Rp. 202,187,535,270</w:t>
            </w:r>
          </w:p>
        </w:tc>
        <w:tc>
          <w:tcPr>
            <w:tcW w:w="2378" w:type="dxa"/>
            <w:hideMark/>
          </w:tcPr>
          <w:p w:rsidR="00CB191C" w:rsidRPr="00605328" w:rsidRDefault="00CB191C" w:rsidP="00605328">
            <w:pPr>
              <w:ind w:firstLine="0"/>
              <w:rPr>
                <w:color w:val="000000"/>
                <w:sz w:val="20"/>
              </w:rPr>
            </w:pPr>
            <w:r w:rsidRPr="00605328">
              <w:rPr>
                <w:color w:val="000000"/>
                <w:sz w:val="20"/>
              </w:rPr>
              <w:t>Rp.</w:t>
            </w:r>
            <w:r w:rsidRPr="00605328">
              <w:rPr>
                <w:sz w:val="20"/>
              </w:rPr>
              <w:t xml:space="preserve"> </w:t>
            </w:r>
            <w:r w:rsidRPr="00605328">
              <w:rPr>
                <w:color w:val="000000"/>
                <w:sz w:val="20"/>
              </w:rPr>
              <w:t>168,111,920,270</w:t>
            </w:r>
          </w:p>
        </w:tc>
        <w:tc>
          <w:tcPr>
            <w:tcW w:w="1836" w:type="dxa"/>
            <w:hideMark/>
          </w:tcPr>
          <w:p w:rsidR="00CB191C" w:rsidRPr="00605328" w:rsidRDefault="00CB191C" w:rsidP="001450B2">
            <w:pPr>
              <w:jc w:val="center"/>
              <w:rPr>
                <w:sz w:val="20"/>
              </w:rPr>
            </w:pPr>
            <w:r w:rsidRPr="00605328">
              <w:rPr>
                <w:sz w:val="20"/>
              </w:rPr>
              <w:t>83</w:t>
            </w:r>
          </w:p>
        </w:tc>
      </w:tr>
      <w:tr w:rsidR="00CB191C" w:rsidRPr="00605328" w:rsidTr="00D25D17">
        <w:trPr>
          <w:jc w:val="center"/>
        </w:trPr>
        <w:tc>
          <w:tcPr>
            <w:tcW w:w="1548" w:type="dxa"/>
            <w:hideMark/>
          </w:tcPr>
          <w:p w:rsidR="00CB191C" w:rsidRPr="00605328" w:rsidRDefault="00CB191C" w:rsidP="001450B2">
            <w:pPr>
              <w:jc w:val="center"/>
              <w:rPr>
                <w:sz w:val="20"/>
              </w:rPr>
            </w:pPr>
            <w:r w:rsidRPr="00605328">
              <w:rPr>
                <w:sz w:val="20"/>
              </w:rPr>
              <w:t>2011</w:t>
            </w:r>
          </w:p>
        </w:tc>
        <w:tc>
          <w:tcPr>
            <w:tcW w:w="2392" w:type="dxa"/>
            <w:vAlign w:val="bottom"/>
            <w:hideMark/>
          </w:tcPr>
          <w:p w:rsidR="00CB191C" w:rsidRPr="00605328" w:rsidRDefault="00CB191C" w:rsidP="00605328">
            <w:pPr>
              <w:ind w:firstLine="0"/>
              <w:rPr>
                <w:color w:val="000000"/>
                <w:sz w:val="20"/>
              </w:rPr>
            </w:pPr>
            <w:r w:rsidRPr="00605328">
              <w:rPr>
                <w:color w:val="000000"/>
                <w:sz w:val="20"/>
              </w:rPr>
              <w:t>Rp. 214,339,984,056</w:t>
            </w:r>
          </w:p>
        </w:tc>
        <w:tc>
          <w:tcPr>
            <w:tcW w:w="2378" w:type="dxa"/>
            <w:vAlign w:val="bottom"/>
            <w:hideMark/>
          </w:tcPr>
          <w:p w:rsidR="00CB191C" w:rsidRPr="00605328" w:rsidRDefault="00CB191C" w:rsidP="00605328">
            <w:pPr>
              <w:ind w:firstLine="0"/>
              <w:rPr>
                <w:color w:val="000000"/>
                <w:sz w:val="20"/>
              </w:rPr>
            </w:pPr>
            <w:r w:rsidRPr="00605328">
              <w:rPr>
                <w:color w:val="000000"/>
                <w:sz w:val="20"/>
              </w:rPr>
              <w:t>Rp. 175,518,184,056</w:t>
            </w:r>
          </w:p>
        </w:tc>
        <w:tc>
          <w:tcPr>
            <w:tcW w:w="1836" w:type="dxa"/>
            <w:hideMark/>
          </w:tcPr>
          <w:p w:rsidR="00CB191C" w:rsidRPr="00605328" w:rsidRDefault="00CB191C" w:rsidP="001450B2">
            <w:pPr>
              <w:jc w:val="center"/>
              <w:rPr>
                <w:sz w:val="20"/>
              </w:rPr>
            </w:pPr>
            <w:r w:rsidRPr="00605328">
              <w:rPr>
                <w:sz w:val="20"/>
              </w:rPr>
              <w:t>82</w:t>
            </w:r>
          </w:p>
        </w:tc>
      </w:tr>
      <w:tr w:rsidR="00CB191C" w:rsidRPr="00605328" w:rsidTr="00D25D17">
        <w:trPr>
          <w:jc w:val="center"/>
        </w:trPr>
        <w:tc>
          <w:tcPr>
            <w:tcW w:w="1548" w:type="dxa"/>
            <w:hideMark/>
          </w:tcPr>
          <w:p w:rsidR="00CB191C" w:rsidRPr="00605328" w:rsidRDefault="00CB191C" w:rsidP="001450B2">
            <w:pPr>
              <w:jc w:val="center"/>
              <w:rPr>
                <w:sz w:val="20"/>
              </w:rPr>
            </w:pPr>
            <w:r w:rsidRPr="00605328">
              <w:rPr>
                <w:sz w:val="20"/>
              </w:rPr>
              <w:t>2012</w:t>
            </w:r>
          </w:p>
        </w:tc>
        <w:tc>
          <w:tcPr>
            <w:tcW w:w="2392" w:type="dxa"/>
            <w:vAlign w:val="bottom"/>
            <w:hideMark/>
          </w:tcPr>
          <w:p w:rsidR="00CB191C" w:rsidRPr="00605328" w:rsidRDefault="00CB191C" w:rsidP="00605328">
            <w:pPr>
              <w:ind w:firstLine="0"/>
              <w:rPr>
                <w:color w:val="000000"/>
                <w:sz w:val="20"/>
              </w:rPr>
            </w:pPr>
            <w:r w:rsidRPr="00605328">
              <w:rPr>
                <w:color w:val="000000"/>
                <w:sz w:val="20"/>
              </w:rPr>
              <w:t>Rp. 217,106,308,604</w:t>
            </w:r>
          </w:p>
        </w:tc>
        <w:tc>
          <w:tcPr>
            <w:tcW w:w="2378" w:type="dxa"/>
            <w:vAlign w:val="bottom"/>
            <w:hideMark/>
          </w:tcPr>
          <w:p w:rsidR="00CB191C" w:rsidRPr="00605328" w:rsidRDefault="00CB191C" w:rsidP="00605328">
            <w:pPr>
              <w:ind w:firstLine="0"/>
              <w:rPr>
                <w:color w:val="000000"/>
                <w:sz w:val="20"/>
              </w:rPr>
            </w:pPr>
            <w:r w:rsidRPr="00605328">
              <w:rPr>
                <w:color w:val="000000"/>
                <w:sz w:val="20"/>
              </w:rPr>
              <w:t>Rp. 218,809,121,135</w:t>
            </w:r>
          </w:p>
        </w:tc>
        <w:tc>
          <w:tcPr>
            <w:tcW w:w="1836" w:type="dxa"/>
            <w:hideMark/>
          </w:tcPr>
          <w:p w:rsidR="00CB191C" w:rsidRPr="00605328" w:rsidRDefault="00CB191C" w:rsidP="001450B2">
            <w:pPr>
              <w:jc w:val="center"/>
              <w:rPr>
                <w:sz w:val="20"/>
              </w:rPr>
            </w:pPr>
            <w:r w:rsidRPr="00605328">
              <w:rPr>
                <w:sz w:val="20"/>
              </w:rPr>
              <w:t>94</w:t>
            </w:r>
          </w:p>
        </w:tc>
      </w:tr>
      <w:tr w:rsidR="00CB191C" w:rsidRPr="00605328" w:rsidTr="00D25D17">
        <w:trPr>
          <w:jc w:val="center"/>
        </w:trPr>
        <w:tc>
          <w:tcPr>
            <w:tcW w:w="1548" w:type="dxa"/>
            <w:hideMark/>
          </w:tcPr>
          <w:p w:rsidR="00CB191C" w:rsidRPr="00605328" w:rsidRDefault="00CB191C" w:rsidP="001450B2">
            <w:pPr>
              <w:jc w:val="center"/>
              <w:rPr>
                <w:sz w:val="20"/>
              </w:rPr>
            </w:pPr>
            <w:r w:rsidRPr="00605328">
              <w:rPr>
                <w:sz w:val="20"/>
              </w:rPr>
              <w:t>2013</w:t>
            </w:r>
          </w:p>
        </w:tc>
        <w:tc>
          <w:tcPr>
            <w:tcW w:w="2392" w:type="dxa"/>
            <w:vAlign w:val="bottom"/>
            <w:hideMark/>
          </w:tcPr>
          <w:p w:rsidR="00CB191C" w:rsidRPr="00605328" w:rsidRDefault="00CB191C" w:rsidP="00605328">
            <w:pPr>
              <w:ind w:firstLine="0"/>
              <w:rPr>
                <w:color w:val="000000"/>
                <w:sz w:val="20"/>
              </w:rPr>
            </w:pPr>
            <w:r w:rsidRPr="00605328">
              <w:rPr>
                <w:color w:val="000000"/>
                <w:sz w:val="20"/>
              </w:rPr>
              <w:t>Rp. 251,027,935,056</w:t>
            </w:r>
          </w:p>
        </w:tc>
        <w:tc>
          <w:tcPr>
            <w:tcW w:w="2378" w:type="dxa"/>
            <w:vAlign w:val="bottom"/>
            <w:hideMark/>
          </w:tcPr>
          <w:p w:rsidR="00CB191C" w:rsidRPr="00605328" w:rsidRDefault="00CB191C" w:rsidP="00605328">
            <w:pPr>
              <w:ind w:firstLine="0"/>
              <w:rPr>
                <w:color w:val="000000"/>
                <w:sz w:val="20"/>
              </w:rPr>
            </w:pPr>
            <w:r w:rsidRPr="00605328">
              <w:rPr>
                <w:color w:val="000000"/>
                <w:sz w:val="20"/>
              </w:rPr>
              <w:t>Rp. 203,719,961,719</w:t>
            </w:r>
          </w:p>
        </w:tc>
        <w:tc>
          <w:tcPr>
            <w:tcW w:w="1836" w:type="dxa"/>
            <w:hideMark/>
          </w:tcPr>
          <w:p w:rsidR="00CB191C" w:rsidRPr="00605328" w:rsidRDefault="00CB191C" w:rsidP="001450B2">
            <w:pPr>
              <w:jc w:val="center"/>
              <w:rPr>
                <w:sz w:val="20"/>
              </w:rPr>
            </w:pPr>
            <w:r w:rsidRPr="00605328">
              <w:rPr>
                <w:sz w:val="20"/>
              </w:rPr>
              <w:t>92</w:t>
            </w:r>
          </w:p>
        </w:tc>
      </w:tr>
      <w:tr w:rsidR="00CB191C" w:rsidRPr="00605328" w:rsidTr="00D25D17">
        <w:trPr>
          <w:jc w:val="center"/>
        </w:trPr>
        <w:tc>
          <w:tcPr>
            <w:tcW w:w="1548" w:type="dxa"/>
          </w:tcPr>
          <w:p w:rsidR="00CB191C" w:rsidRPr="00605328" w:rsidRDefault="00CB191C" w:rsidP="001450B2">
            <w:pPr>
              <w:jc w:val="center"/>
              <w:rPr>
                <w:sz w:val="20"/>
              </w:rPr>
            </w:pPr>
            <w:r w:rsidRPr="00605328">
              <w:rPr>
                <w:sz w:val="20"/>
              </w:rPr>
              <w:t>2014</w:t>
            </w:r>
          </w:p>
        </w:tc>
        <w:tc>
          <w:tcPr>
            <w:tcW w:w="2392" w:type="dxa"/>
            <w:vAlign w:val="bottom"/>
          </w:tcPr>
          <w:p w:rsidR="00CB191C" w:rsidRPr="00605328" w:rsidRDefault="00CB191C" w:rsidP="00605328">
            <w:pPr>
              <w:ind w:firstLine="0"/>
              <w:rPr>
                <w:color w:val="000000"/>
                <w:sz w:val="20"/>
              </w:rPr>
            </w:pPr>
            <w:r w:rsidRPr="00605328">
              <w:rPr>
                <w:color w:val="000000"/>
                <w:sz w:val="20"/>
              </w:rPr>
              <w:t>Rp. 270.660.060.724</w:t>
            </w:r>
          </w:p>
        </w:tc>
        <w:tc>
          <w:tcPr>
            <w:tcW w:w="2378" w:type="dxa"/>
            <w:vAlign w:val="bottom"/>
          </w:tcPr>
          <w:p w:rsidR="00CB191C" w:rsidRPr="00605328" w:rsidRDefault="00CB191C" w:rsidP="00605328">
            <w:pPr>
              <w:ind w:firstLine="0"/>
              <w:rPr>
                <w:color w:val="000000"/>
                <w:sz w:val="20"/>
              </w:rPr>
            </w:pPr>
            <w:r w:rsidRPr="00605328">
              <w:rPr>
                <w:color w:val="000000"/>
                <w:sz w:val="20"/>
              </w:rPr>
              <w:t>Rp. 258,174,431,339</w:t>
            </w:r>
          </w:p>
        </w:tc>
        <w:tc>
          <w:tcPr>
            <w:tcW w:w="1836" w:type="dxa"/>
          </w:tcPr>
          <w:p w:rsidR="00CB191C" w:rsidRPr="00605328" w:rsidRDefault="00CB191C" w:rsidP="001450B2">
            <w:pPr>
              <w:jc w:val="center"/>
              <w:rPr>
                <w:sz w:val="20"/>
              </w:rPr>
            </w:pPr>
            <w:r w:rsidRPr="00605328">
              <w:rPr>
                <w:sz w:val="20"/>
              </w:rPr>
              <w:t>95</w:t>
            </w:r>
          </w:p>
        </w:tc>
      </w:tr>
    </w:tbl>
    <w:p w:rsidR="00CB191C" w:rsidRPr="00022667" w:rsidRDefault="00CB191C" w:rsidP="00CB191C">
      <w:pPr>
        <w:autoSpaceDE w:val="0"/>
        <w:autoSpaceDN w:val="0"/>
        <w:adjustRightInd w:val="0"/>
        <w:ind w:firstLine="720"/>
      </w:pPr>
      <w:r>
        <w:rPr>
          <w:szCs w:val="24"/>
        </w:rPr>
        <w:t xml:space="preserve"> </w:t>
      </w:r>
      <w:r w:rsidRPr="00022667">
        <w:rPr>
          <w:color w:val="000000"/>
          <w:lang w:val="ms-MY"/>
        </w:rPr>
        <w:t>Sumber: diolah dari APBD Kota Solok 2010-2014</w:t>
      </w:r>
    </w:p>
    <w:p w:rsidR="0097447A" w:rsidRDefault="00CB191C" w:rsidP="0097447A">
      <w:pPr>
        <w:pStyle w:val="NormalWeb"/>
        <w:ind w:firstLine="720"/>
        <w:jc w:val="both"/>
      </w:pPr>
      <w:r>
        <w:t xml:space="preserve">Trend belanja pegawai pada APBD Kota Solok makin menunjukkan semakin besarnya alokasi untuk belanja pegawai, malahan pada Tahun Anggaran 2014 mencapai 95%. Atau </w:t>
      </w:r>
      <w:r>
        <w:lastRenderedPageBreak/>
        <w:t>sebesar Rp. 258.174.431.339 dari total belanja tidak langsung yang dianggarakan sebesar Rp. 270.660.060.724.  Sedangkan komposisi terbaik yang pernah diraih oleh Kota Solok dalam APBD-nya adalah pada Tahun Anggaran 2011 dengan alokasi belanja pegawai sebesar Rp. 175.518.184.056 dari alokasi pada pos belanja tidak langsung yang dianggarkan Rp 214.339.984.056 atau sebesar sebesar 82% dari belanja tidak langsung.  Makin besarnya alokasi belanja pegawai tersebut dari belanja tidak langsung artinya belanja bunga, belanja hibah, belanja bantuan sosial, belanja bantuang keuangan, dan belanja tidak terduga akan semakin sedikit pengalokasiannya.</w:t>
      </w:r>
    </w:p>
    <w:p w:rsidR="00CB191C" w:rsidRDefault="00CB191C" w:rsidP="0097447A">
      <w:pPr>
        <w:pStyle w:val="NormalWeb"/>
        <w:ind w:firstLine="720"/>
        <w:jc w:val="both"/>
      </w:pPr>
      <w:r>
        <w:t xml:space="preserve">Jika diambil perbandingan dengan data nasional, rasio DAU terhadap belanja pegawai pada belanja tidak langsung Tahun Anggaran 2014, alokasi DAU untuk belanja pegawai pada belanja tidak langsung mencapai 83,26%.  Sementara di Kota Solok berdasarkan data di lapangan persentase DAU terhadap belanja pegawai pada belanja tidak langsung hanya 72,85%.  Hal ini menunjukkan walaupun belanja pegawai pada belanja tidak langsung tidak ideal tetapi lebih baik dibandingkan dengan rasio rata-rata nasional DAU terhadap belanja pegawai pada belanja tidak langsung.  Seperti yang ditunjukkan oleh grafik di bawah ini: </w:t>
      </w:r>
    </w:p>
    <w:p w:rsidR="00CB191C" w:rsidRDefault="00CB191C" w:rsidP="00CB191C">
      <w:pPr>
        <w:pStyle w:val="NoSpacing"/>
        <w:jc w:val="center"/>
        <w:rPr>
          <w:rFonts w:ascii="Times New Roman" w:hAnsi="Times New Roman"/>
          <w:b/>
        </w:rPr>
      </w:pPr>
      <w:r w:rsidRPr="001450B2">
        <w:rPr>
          <w:rFonts w:ascii="Times New Roman" w:hAnsi="Times New Roman"/>
          <w:b/>
          <w:sz w:val="24"/>
          <w:szCs w:val="24"/>
        </w:rPr>
        <w:t xml:space="preserve">Grafik </w:t>
      </w:r>
      <w:r w:rsidR="00506112">
        <w:rPr>
          <w:rFonts w:ascii="Times New Roman" w:hAnsi="Times New Roman"/>
          <w:b/>
          <w:sz w:val="24"/>
          <w:szCs w:val="24"/>
        </w:rPr>
        <w:t>6</w:t>
      </w:r>
      <w:r w:rsidRPr="001450B2">
        <w:rPr>
          <w:rFonts w:ascii="Times New Roman" w:hAnsi="Times New Roman"/>
          <w:b/>
          <w:sz w:val="24"/>
          <w:szCs w:val="24"/>
        </w:rPr>
        <w:t xml:space="preserve"> Rasio DAU terhadap belanja Pegawai pada Belanja Tidak Langsung Tahun Anggaran</w:t>
      </w:r>
      <w:r w:rsidRPr="00022667">
        <w:rPr>
          <w:rFonts w:ascii="Times New Roman" w:hAnsi="Times New Roman"/>
          <w:b/>
        </w:rPr>
        <w:t xml:space="preserve"> 2014</w:t>
      </w:r>
    </w:p>
    <w:p w:rsidR="00CB191C" w:rsidRPr="00022667" w:rsidRDefault="00CB191C" w:rsidP="00CB191C">
      <w:pPr>
        <w:pStyle w:val="NoSpacing"/>
        <w:jc w:val="center"/>
        <w:rPr>
          <w:rFonts w:ascii="Times New Roman" w:hAnsi="Times New Roman"/>
          <w:b/>
        </w:rPr>
      </w:pPr>
    </w:p>
    <w:p w:rsidR="00CB191C" w:rsidRDefault="00CB191C" w:rsidP="00CB191C">
      <w:pPr>
        <w:autoSpaceDE w:val="0"/>
        <w:autoSpaceDN w:val="0"/>
        <w:adjustRightInd w:val="0"/>
        <w:spacing w:line="360" w:lineRule="auto"/>
        <w:rPr>
          <w:szCs w:val="24"/>
        </w:rPr>
      </w:pPr>
      <w:r>
        <w:rPr>
          <w:noProof/>
          <w:szCs w:val="24"/>
          <w:lang w:val="en-US"/>
        </w:rPr>
        <w:drawing>
          <wp:inline distT="0" distB="0" distL="0" distR="0">
            <wp:extent cx="5114925" cy="1924050"/>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l="46034" t="59305" r="13736" b="11974"/>
                    <a:stretch>
                      <a:fillRect/>
                    </a:stretch>
                  </pic:blipFill>
                  <pic:spPr bwMode="auto">
                    <a:xfrm>
                      <a:off x="0" y="0"/>
                      <a:ext cx="5114925" cy="1924050"/>
                    </a:xfrm>
                    <a:prstGeom prst="rect">
                      <a:avLst/>
                    </a:prstGeom>
                    <a:noFill/>
                    <a:ln w="9525">
                      <a:noFill/>
                      <a:miter lim="800000"/>
                      <a:headEnd/>
                      <a:tailEnd/>
                    </a:ln>
                  </pic:spPr>
                </pic:pic>
              </a:graphicData>
            </a:graphic>
          </wp:inline>
        </w:drawing>
      </w:r>
    </w:p>
    <w:p w:rsidR="00CB191C" w:rsidRPr="00022667" w:rsidRDefault="00CB191C" w:rsidP="00CB191C">
      <w:pPr>
        <w:spacing w:line="360" w:lineRule="auto"/>
        <w:ind w:firstLine="720"/>
        <w:rPr>
          <w:bCs/>
        </w:rPr>
      </w:pPr>
      <w:r w:rsidRPr="00022667">
        <w:rPr>
          <w:bCs/>
        </w:rPr>
        <w:t>Sumber: keuda.kemendagri.go.id</w:t>
      </w:r>
    </w:p>
    <w:p w:rsidR="00CB191C" w:rsidRDefault="00CB191C" w:rsidP="001450B2">
      <w:pPr>
        <w:autoSpaceDE w:val="0"/>
        <w:autoSpaceDN w:val="0"/>
        <w:adjustRightInd w:val="0"/>
        <w:ind w:firstLine="720"/>
        <w:rPr>
          <w:szCs w:val="24"/>
        </w:rPr>
      </w:pPr>
      <w:r>
        <w:rPr>
          <w:szCs w:val="24"/>
        </w:rPr>
        <w:t xml:space="preserve">Sementara itu alokasi belanja pegawai dari belanja langsung idealnya selalu di bawah 10%.  Hasil kajian yang peneliti lakukan di lapangan menunjukukkan data sebagai berikut: </w:t>
      </w:r>
    </w:p>
    <w:p w:rsidR="001450B2" w:rsidRDefault="001450B2" w:rsidP="00CB191C">
      <w:pPr>
        <w:pStyle w:val="NoSpacing"/>
        <w:jc w:val="center"/>
        <w:rPr>
          <w:rFonts w:ascii="Times New Roman" w:hAnsi="Times New Roman"/>
          <w:b/>
        </w:rPr>
      </w:pPr>
    </w:p>
    <w:p w:rsidR="00CB191C" w:rsidRPr="001450B2" w:rsidRDefault="00CB191C" w:rsidP="00CB191C">
      <w:pPr>
        <w:pStyle w:val="NoSpacing"/>
        <w:jc w:val="center"/>
        <w:rPr>
          <w:rFonts w:ascii="Times New Roman" w:hAnsi="Times New Roman"/>
          <w:b/>
          <w:sz w:val="24"/>
          <w:szCs w:val="24"/>
        </w:rPr>
      </w:pPr>
      <w:r w:rsidRPr="001450B2">
        <w:rPr>
          <w:rFonts w:ascii="Times New Roman" w:hAnsi="Times New Roman"/>
          <w:b/>
          <w:sz w:val="24"/>
          <w:szCs w:val="24"/>
        </w:rPr>
        <w:t xml:space="preserve">Tabel </w:t>
      </w:r>
      <w:r w:rsidR="00506112">
        <w:rPr>
          <w:rFonts w:ascii="Times New Roman" w:hAnsi="Times New Roman"/>
          <w:b/>
          <w:sz w:val="24"/>
          <w:szCs w:val="24"/>
        </w:rPr>
        <w:t>5</w:t>
      </w:r>
      <w:r w:rsidRPr="001450B2">
        <w:rPr>
          <w:rFonts w:ascii="Times New Roman" w:hAnsi="Times New Roman"/>
          <w:b/>
          <w:sz w:val="24"/>
          <w:szCs w:val="24"/>
        </w:rPr>
        <w:t xml:space="preserve"> Perbandingan Belanja Pegawai dengan Total Belanja Langsung</w:t>
      </w:r>
    </w:p>
    <w:p w:rsidR="001450B2" w:rsidRPr="00022667" w:rsidRDefault="001450B2" w:rsidP="00CB191C">
      <w:pPr>
        <w:pStyle w:val="NoSpacing"/>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92"/>
        <w:gridCol w:w="2378"/>
        <w:gridCol w:w="1836"/>
      </w:tblGrid>
      <w:tr w:rsidR="00CB191C" w:rsidRPr="001450B2" w:rsidTr="0097447A">
        <w:trPr>
          <w:jc w:val="center"/>
        </w:trPr>
        <w:tc>
          <w:tcPr>
            <w:tcW w:w="1548" w:type="dxa"/>
            <w:vMerge w:val="restart"/>
            <w:shd w:val="clear" w:color="auto" w:fill="EEECE1"/>
            <w:vAlign w:val="center"/>
            <w:hideMark/>
          </w:tcPr>
          <w:p w:rsidR="00CB191C" w:rsidRPr="001450B2" w:rsidRDefault="00CB191C" w:rsidP="001450B2">
            <w:pPr>
              <w:jc w:val="center"/>
              <w:rPr>
                <w:b/>
                <w:sz w:val="20"/>
              </w:rPr>
            </w:pPr>
            <w:r w:rsidRPr="001450B2">
              <w:rPr>
                <w:b/>
                <w:sz w:val="20"/>
              </w:rPr>
              <w:t>Tahun Anggaran</w:t>
            </w:r>
          </w:p>
        </w:tc>
        <w:tc>
          <w:tcPr>
            <w:tcW w:w="4770" w:type="dxa"/>
            <w:gridSpan w:val="2"/>
            <w:shd w:val="clear" w:color="auto" w:fill="EEECE1"/>
            <w:hideMark/>
          </w:tcPr>
          <w:p w:rsidR="00CB191C" w:rsidRPr="001450B2" w:rsidRDefault="00CB191C" w:rsidP="001450B2">
            <w:pPr>
              <w:jc w:val="center"/>
              <w:rPr>
                <w:b/>
                <w:sz w:val="20"/>
              </w:rPr>
            </w:pPr>
            <w:r w:rsidRPr="001450B2">
              <w:rPr>
                <w:b/>
                <w:sz w:val="20"/>
              </w:rPr>
              <w:t>Perbandingan Belanja Pegawai dengan Total Belanja Langsung</w:t>
            </w:r>
          </w:p>
        </w:tc>
        <w:tc>
          <w:tcPr>
            <w:tcW w:w="1836" w:type="dxa"/>
            <w:vMerge w:val="restart"/>
            <w:shd w:val="clear" w:color="auto" w:fill="EEECE1"/>
            <w:hideMark/>
          </w:tcPr>
          <w:p w:rsidR="00CB191C" w:rsidRPr="001450B2" w:rsidRDefault="00CB191C" w:rsidP="001450B2">
            <w:pPr>
              <w:ind w:firstLine="0"/>
              <w:jc w:val="center"/>
              <w:rPr>
                <w:b/>
                <w:sz w:val="20"/>
              </w:rPr>
            </w:pPr>
            <w:r w:rsidRPr="001450B2">
              <w:rPr>
                <w:b/>
                <w:sz w:val="20"/>
              </w:rPr>
              <w:t>Persentase (%)</w:t>
            </w:r>
            <w:r w:rsidR="001450B2">
              <w:rPr>
                <w:b/>
                <w:sz w:val="20"/>
              </w:rPr>
              <w:t xml:space="preserve"> </w:t>
            </w:r>
            <w:r w:rsidRPr="001450B2">
              <w:rPr>
                <w:b/>
                <w:sz w:val="20"/>
              </w:rPr>
              <w:t>Belanja Pegawai</w:t>
            </w:r>
          </w:p>
        </w:tc>
      </w:tr>
      <w:tr w:rsidR="00CB191C" w:rsidRPr="001450B2" w:rsidTr="0097447A">
        <w:trPr>
          <w:jc w:val="center"/>
        </w:trPr>
        <w:tc>
          <w:tcPr>
            <w:tcW w:w="0" w:type="auto"/>
            <w:vMerge/>
            <w:vAlign w:val="center"/>
            <w:hideMark/>
          </w:tcPr>
          <w:p w:rsidR="00CB191C" w:rsidRPr="001450B2" w:rsidRDefault="00CB191C" w:rsidP="001450B2">
            <w:pPr>
              <w:rPr>
                <w:b/>
                <w:sz w:val="20"/>
              </w:rPr>
            </w:pPr>
          </w:p>
        </w:tc>
        <w:tc>
          <w:tcPr>
            <w:tcW w:w="2392" w:type="dxa"/>
            <w:shd w:val="clear" w:color="auto" w:fill="EEECE1"/>
            <w:hideMark/>
          </w:tcPr>
          <w:p w:rsidR="00CB191C" w:rsidRPr="001450B2" w:rsidRDefault="00CB191C" w:rsidP="001450B2">
            <w:pPr>
              <w:jc w:val="center"/>
              <w:rPr>
                <w:b/>
                <w:sz w:val="20"/>
              </w:rPr>
            </w:pPr>
            <w:r w:rsidRPr="001450B2">
              <w:rPr>
                <w:b/>
                <w:sz w:val="20"/>
              </w:rPr>
              <w:t>Tidak Langsung</w:t>
            </w:r>
          </w:p>
        </w:tc>
        <w:tc>
          <w:tcPr>
            <w:tcW w:w="2378" w:type="dxa"/>
            <w:shd w:val="clear" w:color="auto" w:fill="EEECE1"/>
            <w:hideMark/>
          </w:tcPr>
          <w:p w:rsidR="00CB191C" w:rsidRPr="001450B2" w:rsidRDefault="00CB191C" w:rsidP="001450B2">
            <w:pPr>
              <w:jc w:val="center"/>
              <w:rPr>
                <w:b/>
                <w:sz w:val="20"/>
              </w:rPr>
            </w:pPr>
            <w:r w:rsidRPr="001450B2">
              <w:rPr>
                <w:b/>
                <w:sz w:val="20"/>
              </w:rPr>
              <w:t>Belanja Pegawai</w:t>
            </w:r>
          </w:p>
        </w:tc>
        <w:tc>
          <w:tcPr>
            <w:tcW w:w="0" w:type="auto"/>
            <w:vMerge/>
            <w:vAlign w:val="center"/>
            <w:hideMark/>
          </w:tcPr>
          <w:p w:rsidR="00CB191C" w:rsidRPr="001450B2" w:rsidRDefault="00CB191C" w:rsidP="001450B2">
            <w:pPr>
              <w:rPr>
                <w:b/>
                <w:sz w:val="20"/>
              </w:rPr>
            </w:pPr>
          </w:p>
        </w:tc>
      </w:tr>
      <w:tr w:rsidR="00CB191C" w:rsidRPr="001450B2" w:rsidTr="0097447A">
        <w:trPr>
          <w:jc w:val="center"/>
        </w:trPr>
        <w:tc>
          <w:tcPr>
            <w:tcW w:w="1548" w:type="dxa"/>
            <w:hideMark/>
          </w:tcPr>
          <w:p w:rsidR="00CB191C" w:rsidRPr="001450B2" w:rsidRDefault="00CB191C" w:rsidP="001450B2">
            <w:pPr>
              <w:jc w:val="center"/>
              <w:rPr>
                <w:sz w:val="20"/>
              </w:rPr>
            </w:pPr>
            <w:r w:rsidRPr="001450B2">
              <w:rPr>
                <w:sz w:val="20"/>
              </w:rPr>
              <w:t>2010</w:t>
            </w:r>
          </w:p>
        </w:tc>
        <w:tc>
          <w:tcPr>
            <w:tcW w:w="2392" w:type="dxa"/>
            <w:hideMark/>
          </w:tcPr>
          <w:p w:rsidR="00CB191C" w:rsidRPr="001450B2" w:rsidRDefault="00CB191C" w:rsidP="001450B2">
            <w:pPr>
              <w:ind w:firstLine="0"/>
              <w:rPr>
                <w:color w:val="000000"/>
                <w:sz w:val="20"/>
              </w:rPr>
            </w:pPr>
            <w:r w:rsidRPr="001450B2">
              <w:rPr>
                <w:color w:val="000000"/>
                <w:sz w:val="20"/>
              </w:rPr>
              <w:t>Rp. 165,631,587,457</w:t>
            </w:r>
          </w:p>
        </w:tc>
        <w:tc>
          <w:tcPr>
            <w:tcW w:w="2378" w:type="dxa"/>
            <w:hideMark/>
          </w:tcPr>
          <w:p w:rsidR="00CB191C" w:rsidRPr="001450B2" w:rsidRDefault="00CB191C" w:rsidP="001450B2">
            <w:pPr>
              <w:rPr>
                <w:color w:val="000000"/>
                <w:sz w:val="20"/>
              </w:rPr>
            </w:pPr>
            <w:r w:rsidRPr="001450B2">
              <w:rPr>
                <w:color w:val="000000"/>
                <w:sz w:val="20"/>
              </w:rPr>
              <w:t>Rp.</w:t>
            </w:r>
            <w:r w:rsidRPr="001450B2">
              <w:rPr>
                <w:sz w:val="20"/>
              </w:rPr>
              <w:t xml:space="preserve"> </w:t>
            </w:r>
            <w:r w:rsidRPr="001450B2">
              <w:rPr>
                <w:color w:val="000000"/>
                <w:sz w:val="20"/>
              </w:rPr>
              <w:t>21,113,409,500</w:t>
            </w:r>
          </w:p>
        </w:tc>
        <w:tc>
          <w:tcPr>
            <w:tcW w:w="1836" w:type="dxa"/>
            <w:hideMark/>
          </w:tcPr>
          <w:p w:rsidR="00CB191C" w:rsidRPr="001450B2" w:rsidRDefault="00CB191C" w:rsidP="001450B2">
            <w:pPr>
              <w:jc w:val="center"/>
              <w:rPr>
                <w:sz w:val="20"/>
              </w:rPr>
            </w:pPr>
            <w:r w:rsidRPr="001450B2">
              <w:rPr>
                <w:sz w:val="20"/>
              </w:rPr>
              <w:t>13</w:t>
            </w:r>
          </w:p>
        </w:tc>
      </w:tr>
      <w:tr w:rsidR="00CB191C" w:rsidRPr="001450B2" w:rsidTr="0097447A">
        <w:trPr>
          <w:jc w:val="center"/>
        </w:trPr>
        <w:tc>
          <w:tcPr>
            <w:tcW w:w="1548" w:type="dxa"/>
            <w:hideMark/>
          </w:tcPr>
          <w:p w:rsidR="00CB191C" w:rsidRPr="001450B2" w:rsidRDefault="00CB191C" w:rsidP="001450B2">
            <w:pPr>
              <w:jc w:val="center"/>
              <w:rPr>
                <w:sz w:val="20"/>
              </w:rPr>
            </w:pPr>
            <w:r w:rsidRPr="001450B2">
              <w:rPr>
                <w:sz w:val="20"/>
              </w:rPr>
              <w:t>2011</w:t>
            </w:r>
          </w:p>
        </w:tc>
        <w:tc>
          <w:tcPr>
            <w:tcW w:w="2392" w:type="dxa"/>
            <w:vAlign w:val="bottom"/>
            <w:hideMark/>
          </w:tcPr>
          <w:p w:rsidR="00CB191C" w:rsidRPr="001450B2" w:rsidRDefault="00CB191C" w:rsidP="001450B2">
            <w:pPr>
              <w:ind w:firstLine="0"/>
              <w:rPr>
                <w:color w:val="000000"/>
                <w:sz w:val="20"/>
              </w:rPr>
            </w:pPr>
            <w:r w:rsidRPr="001450B2">
              <w:rPr>
                <w:color w:val="000000"/>
                <w:sz w:val="20"/>
              </w:rPr>
              <w:t>Rp. 188,301,171,123</w:t>
            </w:r>
          </w:p>
        </w:tc>
        <w:tc>
          <w:tcPr>
            <w:tcW w:w="2378" w:type="dxa"/>
            <w:vAlign w:val="bottom"/>
            <w:hideMark/>
          </w:tcPr>
          <w:p w:rsidR="00CB191C" w:rsidRPr="001450B2" w:rsidRDefault="00CB191C" w:rsidP="001450B2">
            <w:pPr>
              <w:jc w:val="right"/>
              <w:rPr>
                <w:color w:val="000000"/>
                <w:sz w:val="20"/>
              </w:rPr>
            </w:pPr>
            <w:r w:rsidRPr="001450B2">
              <w:rPr>
                <w:color w:val="000000"/>
                <w:sz w:val="20"/>
              </w:rPr>
              <w:t>Rp. 16,800,345,500</w:t>
            </w:r>
          </w:p>
        </w:tc>
        <w:tc>
          <w:tcPr>
            <w:tcW w:w="1836" w:type="dxa"/>
            <w:hideMark/>
          </w:tcPr>
          <w:p w:rsidR="00CB191C" w:rsidRPr="001450B2" w:rsidRDefault="00CB191C" w:rsidP="001450B2">
            <w:pPr>
              <w:jc w:val="center"/>
              <w:rPr>
                <w:sz w:val="20"/>
              </w:rPr>
            </w:pPr>
            <w:r w:rsidRPr="001450B2">
              <w:rPr>
                <w:sz w:val="20"/>
              </w:rPr>
              <w:t>9</w:t>
            </w:r>
          </w:p>
        </w:tc>
      </w:tr>
      <w:tr w:rsidR="00CB191C" w:rsidRPr="001450B2" w:rsidTr="0097447A">
        <w:trPr>
          <w:jc w:val="center"/>
        </w:trPr>
        <w:tc>
          <w:tcPr>
            <w:tcW w:w="1548" w:type="dxa"/>
            <w:hideMark/>
          </w:tcPr>
          <w:p w:rsidR="00CB191C" w:rsidRPr="001450B2" w:rsidRDefault="00CB191C" w:rsidP="001450B2">
            <w:pPr>
              <w:jc w:val="center"/>
              <w:rPr>
                <w:sz w:val="20"/>
              </w:rPr>
            </w:pPr>
            <w:r w:rsidRPr="001450B2">
              <w:rPr>
                <w:sz w:val="20"/>
              </w:rPr>
              <w:t>2012</w:t>
            </w:r>
          </w:p>
        </w:tc>
        <w:tc>
          <w:tcPr>
            <w:tcW w:w="2392" w:type="dxa"/>
            <w:vAlign w:val="bottom"/>
            <w:hideMark/>
          </w:tcPr>
          <w:p w:rsidR="00CB191C" w:rsidRPr="001450B2" w:rsidRDefault="00CB191C" w:rsidP="001450B2">
            <w:pPr>
              <w:ind w:firstLine="0"/>
              <w:rPr>
                <w:color w:val="000000"/>
                <w:sz w:val="20"/>
              </w:rPr>
            </w:pPr>
            <w:r w:rsidRPr="001450B2">
              <w:rPr>
                <w:color w:val="000000"/>
                <w:sz w:val="20"/>
              </w:rPr>
              <w:t>Rp.218,809,121,135</w:t>
            </w:r>
          </w:p>
        </w:tc>
        <w:tc>
          <w:tcPr>
            <w:tcW w:w="2378" w:type="dxa"/>
            <w:vAlign w:val="bottom"/>
            <w:hideMark/>
          </w:tcPr>
          <w:p w:rsidR="00CB191C" w:rsidRPr="001450B2" w:rsidRDefault="00CB191C" w:rsidP="001450B2">
            <w:pPr>
              <w:jc w:val="right"/>
              <w:rPr>
                <w:color w:val="000000"/>
                <w:sz w:val="20"/>
              </w:rPr>
            </w:pPr>
            <w:r w:rsidRPr="001450B2">
              <w:rPr>
                <w:color w:val="000000"/>
                <w:sz w:val="20"/>
              </w:rPr>
              <w:t>Rp. 17,570,007,750</w:t>
            </w:r>
          </w:p>
        </w:tc>
        <w:tc>
          <w:tcPr>
            <w:tcW w:w="1836" w:type="dxa"/>
            <w:hideMark/>
          </w:tcPr>
          <w:p w:rsidR="00CB191C" w:rsidRPr="001450B2" w:rsidRDefault="00CB191C" w:rsidP="001450B2">
            <w:pPr>
              <w:jc w:val="center"/>
              <w:rPr>
                <w:sz w:val="20"/>
              </w:rPr>
            </w:pPr>
            <w:r w:rsidRPr="001450B2">
              <w:rPr>
                <w:sz w:val="20"/>
              </w:rPr>
              <w:t>8</w:t>
            </w:r>
          </w:p>
        </w:tc>
      </w:tr>
      <w:tr w:rsidR="00CB191C" w:rsidRPr="001450B2" w:rsidTr="0097447A">
        <w:trPr>
          <w:jc w:val="center"/>
        </w:trPr>
        <w:tc>
          <w:tcPr>
            <w:tcW w:w="1548" w:type="dxa"/>
            <w:hideMark/>
          </w:tcPr>
          <w:p w:rsidR="00CB191C" w:rsidRPr="001450B2" w:rsidRDefault="00CB191C" w:rsidP="001450B2">
            <w:pPr>
              <w:jc w:val="center"/>
              <w:rPr>
                <w:sz w:val="20"/>
              </w:rPr>
            </w:pPr>
            <w:r w:rsidRPr="001450B2">
              <w:rPr>
                <w:sz w:val="20"/>
              </w:rPr>
              <w:t>2013</w:t>
            </w:r>
          </w:p>
        </w:tc>
        <w:tc>
          <w:tcPr>
            <w:tcW w:w="2392" w:type="dxa"/>
            <w:vAlign w:val="bottom"/>
            <w:hideMark/>
          </w:tcPr>
          <w:p w:rsidR="00CB191C" w:rsidRPr="001450B2" w:rsidRDefault="00CB191C" w:rsidP="001450B2">
            <w:pPr>
              <w:ind w:firstLine="0"/>
              <w:rPr>
                <w:color w:val="000000"/>
                <w:sz w:val="20"/>
              </w:rPr>
            </w:pPr>
            <w:r w:rsidRPr="001450B2">
              <w:rPr>
                <w:color w:val="000000"/>
                <w:sz w:val="20"/>
              </w:rPr>
              <w:t>Rp. 224,704,975,816</w:t>
            </w:r>
          </w:p>
        </w:tc>
        <w:tc>
          <w:tcPr>
            <w:tcW w:w="2378" w:type="dxa"/>
            <w:vAlign w:val="bottom"/>
            <w:hideMark/>
          </w:tcPr>
          <w:p w:rsidR="00CB191C" w:rsidRPr="001450B2" w:rsidRDefault="00CB191C" w:rsidP="001450B2">
            <w:pPr>
              <w:jc w:val="right"/>
              <w:rPr>
                <w:color w:val="000000"/>
                <w:sz w:val="20"/>
              </w:rPr>
            </w:pPr>
            <w:r w:rsidRPr="001450B2">
              <w:rPr>
                <w:color w:val="000000"/>
                <w:sz w:val="20"/>
              </w:rPr>
              <w:t>Rp.24,594,212,840</w:t>
            </w:r>
          </w:p>
        </w:tc>
        <w:tc>
          <w:tcPr>
            <w:tcW w:w="1836" w:type="dxa"/>
            <w:hideMark/>
          </w:tcPr>
          <w:p w:rsidR="00CB191C" w:rsidRPr="001450B2" w:rsidRDefault="00CB191C" w:rsidP="001450B2">
            <w:pPr>
              <w:jc w:val="center"/>
              <w:rPr>
                <w:sz w:val="20"/>
              </w:rPr>
            </w:pPr>
            <w:r w:rsidRPr="001450B2">
              <w:rPr>
                <w:sz w:val="20"/>
              </w:rPr>
              <w:t>11</w:t>
            </w:r>
          </w:p>
        </w:tc>
      </w:tr>
      <w:tr w:rsidR="00CB191C" w:rsidRPr="001450B2" w:rsidTr="0097447A">
        <w:trPr>
          <w:jc w:val="center"/>
        </w:trPr>
        <w:tc>
          <w:tcPr>
            <w:tcW w:w="1548" w:type="dxa"/>
          </w:tcPr>
          <w:p w:rsidR="00CB191C" w:rsidRPr="001450B2" w:rsidRDefault="00CB191C" w:rsidP="001450B2">
            <w:pPr>
              <w:jc w:val="center"/>
              <w:rPr>
                <w:sz w:val="20"/>
              </w:rPr>
            </w:pPr>
            <w:r w:rsidRPr="001450B2">
              <w:rPr>
                <w:sz w:val="20"/>
              </w:rPr>
              <w:t>2014</w:t>
            </w:r>
          </w:p>
        </w:tc>
        <w:tc>
          <w:tcPr>
            <w:tcW w:w="2392" w:type="dxa"/>
            <w:vAlign w:val="bottom"/>
          </w:tcPr>
          <w:p w:rsidR="00CB191C" w:rsidRPr="001450B2" w:rsidRDefault="00CB191C" w:rsidP="001450B2">
            <w:pPr>
              <w:ind w:firstLine="0"/>
              <w:rPr>
                <w:color w:val="000000"/>
                <w:sz w:val="20"/>
              </w:rPr>
            </w:pPr>
            <w:r w:rsidRPr="001450B2">
              <w:rPr>
                <w:color w:val="000000"/>
                <w:sz w:val="20"/>
              </w:rPr>
              <w:t>Rp. 269.071.768.620</w:t>
            </w:r>
          </w:p>
        </w:tc>
        <w:tc>
          <w:tcPr>
            <w:tcW w:w="2378" w:type="dxa"/>
            <w:vAlign w:val="bottom"/>
          </w:tcPr>
          <w:p w:rsidR="00CB191C" w:rsidRPr="001450B2" w:rsidRDefault="00CB191C" w:rsidP="001450B2">
            <w:pPr>
              <w:jc w:val="right"/>
              <w:rPr>
                <w:color w:val="000000"/>
                <w:sz w:val="20"/>
              </w:rPr>
            </w:pPr>
            <w:r w:rsidRPr="001450B2">
              <w:rPr>
                <w:color w:val="000000"/>
                <w:sz w:val="20"/>
              </w:rPr>
              <w:t>Rp. 15,351,650,000</w:t>
            </w:r>
          </w:p>
        </w:tc>
        <w:tc>
          <w:tcPr>
            <w:tcW w:w="1836" w:type="dxa"/>
          </w:tcPr>
          <w:p w:rsidR="00CB191C" w:rsidRPr="001450B2" w:rsidRDefault="00CB191C" w:rsidP="001450B2">
            <w:pPr>
              <w:jc w:val="center"/>
              <w:rPr>
                <w:sz w:val="20"/>
              </w:rPr>
            </w:pPr>
            <w:r w:rsidRPr="001450B2">
              <w:rPr>
                <w:sz w:val="20"/>
              </w:rPr>
              <w:t>6</w:t>
            </w:r>
          </w:p>
        </w:tc>
      </w:tr>
    </w:tbl>
    <w:p w:rsidR="00CB191C" w:rsidRPr="00022667" w:rsidRDefault="00CB191C" w:rsidP="00CB191C">
      <w:pPr>
        <w:autoSpaceDE w:val="0"/>
        <w:autoSpaceDN w:val="0"/>
        <w:adjustRightInd w:val="0"/>
        <w:ind w:firstLine="720"/>
      </w:pPr>
      <w:r w:rsidRPr="00022667">
        <w:t xml:space="preserve"> </w:t>
      </w:r>
      <w:r w:rsidRPr="00022667">
        <w:rPr>
          <w:color w:val="000000"/>
          <w:lang w:val="ms-MY"/>
        </w:rPr>
        <w:t>Sumber: diolah dari APBD Kota Solok 2010-2014</w:t>
      </w:r>
    </w:p>
    <w:p w:rsidR="001450B2" w:rsidRDefault="001450B2" w:rsidP="00CB191C">
      <w:pPr>
        <w:autoSpaceDE w:val="0"/>
        <w:autoSpaceDN w:val="0"/>
        <w:adjustRightInd w:val="0"/>
        <w:spacing w:line="360" w:lineRule="auto"/>
        <w:ind w:firstLine="720"/>
        <w:rPr>
          <w:szCs w:val="24"/>
        </w:rPr>
      </w:pPr>
    </w:p>
    <w:p w:rsidR="00CB191C" w:rsidRPr="00022667" w:rsidRDefault="00CB191C" w:rsidP="00907726">
      <w:pPr>
        <w:autoSpaceDE w:val="0"/>
        <w:autoSpaceDN w:val="0"/>
        <w:adjustRightInd w:val="0"/>
        <w:ind w:firstLine="720"/>
        <w:rPr>
          <w:bCs/>
        </w:rPr>
      </w:pPr>
      <w:r>
        <w:rPr>
          <w:szCs w:val="24"/>
        </w:rPr>
        <w:t xml:space="preserve">Dari data trend belanja pegawai atas belanja langsung pada APBD Kota Solok pada Tahun Anggaran 2010-2014 angka ideal mayoritas selalu dicapai oleh Pemerintah Kota Solok dalam mengalokasikan anggaran.  Walaupun pada Tahun Anggaran 2010 mencapai 13% atau sebesar Rp. 21.113.409.500 dan 2013 mencapai 11% atau sebesar Rp. 24.594.212.840.  Alokasi terbaik yang dicapai oleh Kota Solok yang patut diapresiasi adalah pada Tahun Anggaran 2014 yang hanya sebesar 6% atau sebesar Rp. 15.351.650.000.  </w:t>
      </w:r>
      <w:r>
        <w:rPr>
          <w:color w:val="000000"/>
          <w:szCs w:val="24"/>
        </w:rPr>
        <w:t xml:space="preserve">Hal tersebut jika dibandingkan dengan rata-rata nasional </w:t>
      </w:r>
      <w:r w:rsidR="00506112">
        <w:rPr>
          <w:color w:val="000000"/>
          <w:szCs w:val="24"/>
        </w:rPr>
        <w:t xml:space="preserve">8,5% </w:t>
      </w:r>
      <w:r>
        <w:rPr>
          <w:color w:val="000000"/>
          <w:szCs w:val="24"/>
        </w:rPr>
        <w:t>dan Provinsi Sumatera Barat</w:t>
      </w:r>
      <w:r w:rsidR="00907726">
        <w:rPr>
          <w:color w:val="000000"/>
          <w:szCs w:val="24"/>
        </w:rPr>
        <w:t xml:space="preserve"> 7,4%</w:t>
      </w:r>
      <w:r>
        <w:rPr>
          <w:color w:val="000000"/>
          <w:szCs w:val="24"/>
        </w:rPr>
        <w:t xml:space="preserve">, Kota Solok dalam belanja pegawai terhadap belanja langsung </w:t>
      </w:r>
      <w:r w:rsidR="00907726">
        <w:rPr>
          <w:color w:val="000000"/>
          <w:szCs w:val="24"/>
        </w:rPr>
        <w:t>persentasenya jauh</w:t>
      </w:r>
      <w:r>
        <w:rPr>
          <w:color w:val="000000"/>
          <w:szCs w:val="24"/>
        </w:rPr>
        <w:t xml:space="preserve"> lebih baik.  </w:t>
      </w:r>
    </w:p>
    <w:p w:rsidR="00CB191C" w:rsidRDefault="001450B2" w:rsidP="00C040CB">
      <w:pPr>
        <w:ind w:firstLine="0"/>
        <w:rPr>
          <w:b/>
        </w:rPr>
      </w:pPr>
      <w:r w:rsidRPr="001450B2">
        <w:rPr>
          <w:b/>
        </w:rPr>
        <w:t>Manajemen Belanja Publik di Kota Solok</w:t>
      </w:r>
    </w:p>
    <w:p w:rsidR="000D6F86" w:rsidRDefault="00784C02" w:rsidP="000D6F86">
      <w:pPr>
        <w:autoSpaceDE w:val="0"/>
        <w:autoSpaceDN w:val="0"/>
        <w:adjustRightInd w:val="0"/>
        <w:ind w:firstLine="720"/>
        <w:rPr>
          <w:iCs/>
        </w:rPr>
      </w:pPr>
      <w:r>
        <w:t xml:space="preserve">Berdasarkan praktik proses penganggaran di </w:t>
      </w:r>
      <w:r w:rsidR="008C396F">
        <w:t>Kota Solok</w:t>
      </w:r>
      <w:r>
        <w:t xml:space="preserve"> maka dapat di</w:t>
      </w:r>
      <w:r w:rsidR="008855C9">
        <w:t>identifikasi</w:t>
      </w:r>
      <w:r>
        <w:t xml:space="preserve"> bahwa implementasi Manajemen Belanja Publik di </w:t>
      </w:r>
      <w:r w:rsidR="00B40EE1">
        <w:t>Kota Solok</w:t>
      </w:r>
      <w:r>
        <w:t xml:space="preserve"> belum berjalan dengan baik</w:t>
      </w:r>
      <w:r w:rsidR="008855C9">
        <w:t>. Hal tersebut</w:t>
      </w:r>
      <w:r>
        <w:t xml:space="preserve"> ditandai dengan lemahnya disiplin fiskal agregat dan terjadinya inefisiensi alokasi</w:t>
      </w:r>
      <w:r w:rsidR="00B40EE1">
        <w:t>,  yang merupakan dua dari tiga output penting dalam Manajemen Belanja Publik menurut Shick (1998)</w:t>
      </w:r>
      <w:r>
        <w:t xml:space="preserve">.  </w:t>
      </w:r>
      <w:r w:rsidR="00C0371E">
        <w:rPr>
          <w:szCs w:val="24"/>
        </w:rPr>
        <w:t xml:space="preserve"> </w:t>
      </w:r>
      <w:r w:rsidR="005059A4" w:rsidRPr="00063D1B">
        <w:rPr>
          <w:lang w:val="id-ID"/>
        </w:rPr>
        <w:t>Disiplin fiskal agregat  adalah istilah untuk norma yang sering diterima sebagai kebenaran bahwa  anggaran semestinya berisi pernyataan belanja aktual yang ak</w:t>
      </w:r>
      <w:r w:rsidR="005059A4" w:rsidRPr="00063D1B">
        <w:rPr>
          <w:i/>
          <w:lang w:val="id-ID"/>
        </w:rPr>
        <w:t xml:space="preserve">an </w:t>
      </w:r>
      <w:r w:rsidR="005059A4" w:rsidRPr="002A7741">
        <w:rPr>
          <w:lang w:val="id-ID"/>
        </w:rPr>
        <w:t>terjadi selama tahun fiskal atas dasar kehati-hatian (</w:t>
      </w:r>
      <w:r w:rsidR="005059A4" w:rsidRPr="002E0634">
        <w:rPr>
          <w:i/>
          <w:iCs/>
          <w:lang w:val="id-ID"/>
        </w:rPr>
        <w:t>prudent</w:t>
      </w:r>
      <w:r w:rsidR="005059A4" w:rsidRPr="002A7741">
        <w:rPr>
          <w:lang w:val="id-ID"/>
        </w:rPr>
        <w:t>)  dan  bukan</w:t>
      </w:r>
      <w:r w:rsidR="005059A4" w:rsidRPr="00063D1B">
        <w:rPr>
          <w:lang w:val="id-ID"/>
        </w:rPr>
        <w:t xml:space="preserve"> </w:t>
      </w:r>
      <w:r w:rsidR="005059A4" w:rsidRPr="002A7741">
        <w:rPr>
          <w:i/>
          <w:lang w:val="id-ID"/>
        </w:rPr>
        <w:t xml:space="preserve">wish list </w:t>
      </w:r>
      <w:r w:rsidR="005059A4" w:rsidRPr="00063D1B">
        <w:rPr>
          <w:lang w:val="id-ID"/>
        </w:rPr>
        <w:t>(daftar keinginan).</w:t>
      </w:r>
      <w:r w:rsidR="005059A4">
        <w:t xml:space="preserve"> </w:t>
      </w:r>
      <w:r w:rsidR="000D6F86">
        <w:t>D</w:t>
      </w:r>
      <w:r w:rsidR="005059A4">
        <w:t xml:space="preserve">isiplin fiskal agregat lemah </w:t>
      </w:r>
      <w:r w:rsidR="000D6F86">
        <w:t xml:space="preserve">di Kota Solok </w:t>
      </w:r>
      <w:r w:rsidR="005059A4">
        <w:t>di</w:t>
      </w:r>
      <w:r w:rsidR="008855C9">
        <w:t xml:space="preserve">cirikan </w:t>
      </w:r>
      <w:r w:rsidR="005059A4">
        <w:t xml:space="preserve">dengan </w:t>
      </w:r>
      <w:r w:rsidR="008855C9">
        <w:t>masih terdapatnya</w:t>
      </w:r>
      <w:r w:rsidR="000D6F86">
        <w:t xml:space="preserve"> </w:t>
      </w:r>
      <w:r w:rsidR="005059A4">
        <w:t>patologi anggaran.  Schic</w:t>
      </w:r>
      <w:r w:rsidR="000D6F86">
        <w:t>k</w:t>
      </w:r>
      <w:r w:rsidR="005059A4">
        <w:t xml:space="preserve"> menjelaskan ada enam patologi anggaran yang dapat melemahkan disiplin fiskal, yang terdiri dari: (1) </w:t>
      </w:r>
      <w:r w:rsidR="005059A4">
        <w:rPr>
          <w:i/>
          <w:iCs/>
        </w:rPr>
        <w:t>u</w:t>
      </w:r>
      <w:r w:rsidR="005059A4">
        <w:rPr>
          <w:i/>
          <w:iCs/>
          <w:lang w:val="id-ID"/>
        </w:rPr>
        <w:t xml:space="preserve">nrealistic </w:t>
      </w:r>
      <w:r w:rsidR="005059A4">
        <w:rPr>
          <w:i/>
          <w:iCs/>
        </w:rPr>
        <w:t>b</w:t>
      </w:r>
      <w:r w:rsidR="005059A4" w:rsidRPr="00063D1B">
        <w:rPr>
          <w:i/>
          <w:iCs/>
          <w:lang w:val="id-ID"/>
        </w:rPr>
        <w:t>udgeting</w:t>
      </w:r>
      <w:r w:rsidR="005059A4">
        <w:rPr>
          <w:i/>
          <w:iCs/>
        </w:rPr>
        <w:t xml:space="preserve">; </w:t>
      </w:r>
      <w:r w:rsidR="005059A4" w:rsidRPr="00091EDD">
        <w:rPr>
          <w:iCs/>
        </w:rPr>
        <w:t>(2)</w:t>
      </w:r>
      <w:r w:rsidR="005059A4">
        <w:rPr>
          <w:i/>
          <w:iCs/>
        </w:rPr>
        <w:t xml:space="preserve"> hidden budgeting; </w:t>
      </w:r>
      <w:r w:rsidR="005059A4" w:rsidRPr="00091EDD">
        <w:rPr>
          <w:iCs/>
        </w:rPr>
        <w:t>(3)</w:t>
      </w:r>
      <w:r w:rsidR="005059A4">
        <w:rPr>
          <w:i/>
          <w:iCs/>
        </w:rPr>
        <w:t xml:space="preserve"> escapist budgeting; </w:t>
      </w:r>
      <w:r w:rsidR="005059A4" w:rsidRPr="00091EDD">
        <w:rPr>
          <w:iCs/>
        </w:rPr>
        <w:t>(4)</w:t>
      </w:r>
      <w:r w:rsidR="005059A4">
        <w:rPr>
          <w:i/>
          <w:iCs/>
        </w:rPr>
        <w:t xml:space="preserve"> deferred budgeting; </w:t>
      </w:r>
      <w:r w:rsidR="005059A4" w:rsidRPr="00091EDD">
        <w:rPr>
          <w:iCs/>
        </w:rPr>
        <w:t>(5)</w:t>
      </w:r>
      <w:r w:rsidR="005059A4">
        <w:rPr>
          <w:i/>
          <w:iCs/>
        </w:rPr>
        <w:t xml:space="preserve"> repetitive budgeting; dan </w:t>
      </w:r>
      <w:r w:rsidR="005059A4" w:rsidRPr="00091EDD">
        <w:rPr>
          <w:iCs/>
        </w:rPr>
        <w:t>(6)</w:t>
      </w:r>
      <w:r w:rsidR="005059A4">
        <w:rPr>
          <w:i/>
          <w:iCs/>
        </w:rPr>
        <w:t xml:space="preserve"> cashbox budgeting. </w:t>
      </w:r>
      <w:r w:rsidR="008855C9" w:rsidRPr="008855C9">
        <w:rPr>
          <w:iCs/>
        </w:rPr>
        <w:t xml:space="preserve">Sedangkan </w:t>
      </w:r>
      <w:r w:rsidR="008855C9">
        <w:rPr>
          <w:iCs/>
        </w:rPr>
        <w:t>p</w:t>
      </w:r>
      <w:r w:rsidR="000D6F86">
        <w:rPr>
          <w:iCs/>
        </w:rPr>
        <w:t xml:space="preserve">atologi anggaran yang paling menonjol di Kota Solok adalah </w:t>
      </w:r>
      <w:r w:rsidR="000D6F86">
        <w:rPr>
          <w:i/>
          <w:iCs/>
        </w:rPr>
        <w:t>u</w:t>
      </w:r>
      <w:r w:rsidR="005059A4" w:rsidRPr="00091EDD">
        <w:rPr>
          <w:i/>
          <w:iCs/>
        </w:rPr>
        <w:t>nrealistic budgeting</w:t>
      </w:r>
      <w:r w:rsidR="005059A4">
        <w:rPr>
          <w:iCs/>
        </w:rPr>
        <w:t xml:space="preserve">  dan </w:t>
      </w:r>
      <w:r w:rsidR="005059A4">
        <w:rPr>
          <w:i/>
          <w:iCs/>
        </w:rPr>
        <w:t xml:space="preserve">repetitive </w:t>
      </w:r>
      <w:r w:rsidR="005059A4" w:rsidRPr="0068070E">
        <w:rPr>
          <w:i/>
          <w:iCs/>
        </w:rPr>
        <w:t>b</w:t>
      </w:r>
      <w:r w:rsidR="005059A4" w:rsidRPr="00091EDD">
        <w:rPr>
          <w:i/>
          <w:iCs/>
        </w:rPr>
        <w:t>udgeting</w:t>
      </w:r>
      <w:r w:rsidR="000D6F86">
        <w:rPr>
          <w:i/>
          <w:iCs/>
        </w:rPr>
        <w:t>.</w:t>
      </w:r>
      <w:r w:rsidR="005059A4">
        <w:rPr>
          <w:iCs/>
        </w:rPr>
        <w:t xml:space="preserve"> </w:t>
      </w:r>
    </w:p>
    <w:p w:rsidR="006A1D01" w:rsidRDefault="005059A4" w:rsidP="006A1D01">
      <w:pPr>
        <w:autoSpaceDE w:val="0"/>
        <w:autoSpaceDN w:val="0"/>
        <w:adjustRightInd w:val="0"/>
        <w:ind w:firstLine="720"/>
      </w:pPr>
      <w:r w:rsidRPr="00091EDD">
        <w:rPr>
          <w:i/>
        </w:rPr>
        <w:t>Unrealistic budgeting</w:t>
      </w:r>
      <w:r w:rsidR="008855C9">
        <w:t xml:space="preserve"> merupakan sebuah </w:t>
      </w:r>
      <w:r>
        <w:t>situasi a</w:t>
      </w:r>
      <w:r w:rsidRPr="00063D1B">
        <w:rPr>
          <w:lang w:val="id-ID"/>
        </w:rPr>
        <w:t>nggaran yang telah disetujui tidak bisa dilaksanakan</w:t>
      </w:r>
      <w:r w:rsidR="008855C9">
        <w:rPr>
          <w:lang w:val="en-US"/>
        </w:rPr>
        <w:t>. Hal tersebut</w:t>
      </w:r>
      <w:r w:rsidR="008855C9">
        <w:t xml:space="preserve"> </w:t>
      </w:r>
      <w:r>
        <w:t xml:space="preserve">terlihat dari tingginya angka defisit dan tingginya angka SILPA. </w:t>
      </w:r>
      <w:r w:rsidR="006A1D01">
        <w:t>Tingginya angka SILPA disebabkan oleh beberapa faktor, yaitu pelampauan target pendapatan, efisiensi dari proses pengadaan barang dan jasa serta kegiatan yang tidak terealisasi. Faktor penyebab pertama dan kedua bisa diabaikan</w:t>
      </w:r>
      <w:r w:rsidR="008855C9">
        <w:t xml:space="preserve"> keberadaannya</w:t>
      </w:r>
      <w:r w:rsidR="006A1D01">
        <w:t xml:space="preserve">, </w:t>
      </w:r>
      <w:r w:rsidR="008855C9">
        <w:t>tetapi</w:t>
      </w:r>
      <w:r w:rsidR="006A1D01">
        <w:t xml:space="preserve"> </w:t>
      </w:r>
      <w:r w:rsidR="008855C9">
        <w:t xml:space="preserve">factor yang </w:t>
      </w:r>
      <w:r w:rsidR="006A1D01">
        <w:t xml:space="preserve">ketiga </w:t>
      </w:r>
      <w:r w:rsidR="008855C9">
        <w:t>harus diberikan perhatian yang lebih</w:t>
      </w:r>
      <w:r w:rsidR="006A1D01">
        <w:t>.</w:t>
      </w:r>
      <w:r w:rsidR="008855C9">
        <w:t xml:space="preserve"> S</w:t>
      </w:r>
      <w:r w:rsidR="006A1D01">
        <w:t>ementara, pe</w:t>
      </w:r>
      <w:r>
        <w:t xml:space="preserve">nentuan nilai defisit dalam jumlah besar yang dilakukan secara sengaja menunjukkan tidak adanya sikap </w:t>
      </w:r>
      <w:r w:rsidRPr="00091EDD">
        <w:rPr>
          <w:i/>
        </w:rPr>
        <w:t>prudent</w:t>
      </w:r>
      <w:r>
        <w:t>, meski diajukan argumen bahwa hal tersebut dilakukan untuk men</w:t>
      </w:r>
      <w:r w:rsidR="008855C9">
        <w:t>y</w:t>
      </w:r>
      <w:r>
        <w:t xml:space="preserve">iasati informasi besaran dana transfer yang belum akurat diawal tahun. </w:t>
      </w:r>
      <w:r w:rsidRPr="00091EDD">
        <w:rPr>
          <w:i/>
        </w:rPr>
        <w:t>Unrealistic budgeting</w:t>
      </w:r>
      <w:r>
        <w:t xml:space="preserve"> berawal dari  tidak adanya </w:t>
      </w:r>
      <w:r w:rsidRPr="00031CE8">
        <w:rPr>
          <w:i/>
        </w:rPr>
        <w:t>hard budget constraint</w:t>
      </w:r>
      <w:r>
        <w:t xml:space="preserve"> yang ditetapkan sejak awal dan kemudian konsisten untuk ditaati. </w:t>
      </w:r>
      <w:r w:rsidRPr="00091EDD">
        <w:rPr>
          <w:i/>
        </w:rPr>
        <w:t>Unrealistic budgeting</w:t>
      </w:r>
      <w:r>
        <w:t xml:space="preserve"> dalam bentuk angka defisit yang tinggi menyebabkan perlu kerja keras di tahapan pembahasan DPRD untuk merasionalisasi anggaran agar nilai defisit bisa ditekan dan ini membutuhkan waktu lama yang berkontribusi menjadi salah satu faktor keterlambatan penetapan APBD dan membawa efek negatif adanya pemotongan anggaran di </w:t>
      </w:r>
      <w:r w:rsidRPr="004C64E1">
        <w:rPr>
          <w:i/>
        </w:rPr>
        <w:t>last minute</w:t>
      </w:r>
      <w:r>
        <w:t xml:space="preserve">. </w:t>
      </w:r>
    </w:p>
    <w:p w:rsidR="006A1D01" w:rsidRDefault="005059A4" w:rsidP="006A1D01">
      <w:pPr>
        <w:autoSpaceDE w:val="0"/>
        <w:autoSpaceDN w:val="0"/>
        <w:adjustRightInd w:val="0"/>
        <w:ind w:firstLine="720"/>
      </w:pPr>
      <w:r w:rsidRPr="000B0C0D">
        <w:rPr>
          <w:i/>
        </w:rPr>
        <w:t>Repetitive budgeting</w:t>
      </w:r>
      <w:r>
        <w:t xml:space="preserve"> adalah situasi dimana a</w:t>
      </w:r>
      <w:r w:rsidRPr="00063D1B">
        <w:rPr>
          <w:lang w:val="id-ID"/>
        </w:rPr>
        <w:t>nggaran sering  dibuat kembali dalam tahun anggaran berjalan untuk merespons kondisi ekonomi dan politik yang berakibat pada menurunnya integritas anggaran sebagai sebagai pernyataan resmi dari kebijakan keuangan pemerintah.</w:t>
      </w:r>
      <w:r>
        <w:t xml:space="preserve"> </w:t>
      </w:r>
      <w:r w:rsidRPr="000B0C0D">
        <w:rPr>
          <w:i/>
        </w:rPr>
        <w:t>Repetitive budgeting</w:t>
      </w:r>
      <w:r>
        <w:t xml:space="preserve"> tercermin dari adanya praktik APBD Perubahan di </w:t>
      </w:r>
      <w:r w:rsidR="006A1D01">
        <w:t>Kota Solok</w:t>
      </w:r>
      <w:r>
        <w:t xml:space="preserve">. Perubahan anggaran merupakan praktik yang biasa dilakukan oleh </w:t>
      </w:r>
      <w:r w:rsidR="006A1D01">
        <w:t>Kota Solok</w:t>
      </w:r>
      <w:r>
        <w:t xml:space="preserve"> dan justru jika tidak dilakukan perubahan anggaran dianggap menjadi kejadian yang luar biasa </w:t>
      </w:r>
      <w:r w:rsidR="006A1D01">
        <w:t>karena di luar fa</w:t>
      </w:r>
      <w:r w:rsidR="00C36D61">
        <w:t>k</w:t>
      </w:r>
      <w:r w:rsidR="006A1D01">
        <w:t>tor kebiasaan</w:t>
      </w:r>
      <w:r>
        <w:t xml:space="preserve">. Salah satu faktor yang menyebabkan terjadinya </w:t>
      </w:r>
      <w:r w:rsidRPr="00B53CDB">
        <w:rPr>
          <w:i/>
        </w:rPr>
        <w:t>repetitive budgeting</w:t>
      </w:r>
      <w:r>
        <w:t xml:space="preserve"> adalah kurang akuratnya informasi yang digunakan ketika menyusun anggaran</w:t>
      </w:r>
      <w:r w:rsidR="006A1D01">
        <w:t>, dan hal ini selalu terjadi di Kota Solok</w:t>
      </w:r>
      <w:r>
        <w:t xml:space="preserve">.  </w:t>
      </w:r>
      <w:r w:rsidR="006A1D01">
        <w:t xml:space="preserve">Padahal, </w:t>
      </w:r>
      <w:r>
        <w:t xml:space="preserve">yang perlu dimiliki pada saat mengalokasikan anggaran adalah memiliki </w:t>
      </w:r>
      <w:r>
        <w:lastRenderedPageBreak/>
        <w:t xml:space="preserve">informasi yang memadai. Praktik revisi anggaran yang secara rutin dilakukan di </w:t>
      </w:r>
      <w:r w:rsidR="006A1D01">
        <w:t>Kota Solok</w:t>
      </w:r>
      <w:r>
        <w:t xml:space="preserve"> menunjukkan lemahnya implementasi Manajemen Belanja Publik karena salah satu tujuan dari tidak ada revisi anggaran di tahun berjalan adalah meningkatkan meningkatkan kepastian dana bagi pelaksana sehingga pelaksana berkonsentrasi pada pencapaian t</w:t>
      </w:r>
      <w:r w:rsidR="006A1D01">
        <w:t>arget kinerja program/kegiatan. Serta t</w:t>
      </w:r>
      <w:r>
        <w:t xml:space="preserve">ingginya angka SILPA merupakan dampak nyata dari lingkungan yang tidak berorientasi kinerja sebagai efek dari penyakit </w:t>
      </w:r>
      <w:r w:rsidRPr="004F3F65">
        <w:rPr>
          <w:i/>
        </w:rPr>
        <w:t>unrealistic budgeting</w:t>
      </w:r>
      <w:r>
        <w:t xml:space="preserve"> dan </w:t>
      </w:r>
      <w:r w:rsidRPr="004F3F65">
        <w:rPr>
          <w:i/>
        </w:rPr>
        <w:t xml:space="preserve">repetitive budgeting </w:t>
      </w:r>
      <w:r>
        <w:t xml:space="preserve">yang menunjukkan lemahnya implementasi Manajemen Belanja Publik. </w:t>
      </w:r>
    </w:p>
    <w:p w:rsidR="006A1D01" w:rsidRDefault="005059A4" w:rsidP="006A1D01">
      <w:pPr>
        <w:autoSpaceDE w:val="0"/>
        <w:autoSpaceDN w:val="0"/>
        <w:adjustRightInd w:val="0"/>
        <w:ind w:firstLine="720"/>
      </w:pPr>
      <w:r w:rsidRPr="00063D1B">
        <w:rPr>
          <w:lang w:val="id-ID"/>
        </w:rPr>
        <w:t>Efisiensi Alokasi adalah</w:t>
      </w:r>
      <w:r>
        <w:t xml:space="preserve"> </w:t>
      </w:r>
      <w:r w:rsidRPr="00A95764">
        <w:rPr>
          <w:i/>
        </w:rPr>
        <w:t xml:space="preserve">outcome </w:t>
      </w:r>
      <w:r>
        <w:t xml:space="preserve">penganggaran tingkat kedua yang </w:t>
      </w:r>
      <w:r>
        <w:rPr>
          <w:lang w:val="id-ID"/>
        </w:rPr>
        <w:t xml:space="preserve"> </w:t>
      </w:r>
      <w:r>
        <w:t>ingin dicapai setelah disiplin fiskal agregat. E</w:t>
      </w:r>
      <w:r w:rsidR="00C36D61">
        <w:t>fisiensi alokasi terkait dengan</w:t>
      </w:r>
      <w:r>
        <w:t xml:space="preserve"> </w:t>
      </w:r>
      <w:r>
        <w:rPr>
          <w:lang w:val="id-ID"/>
        </w:rPr>
        <w:t>kapasitas</w:t>
      </w:r>
      <w:r>
        <w:t xml:space="preserve"> </w:t>
      </w:r>
      <w:r w:rsidRPr="00063D1B">
        <w:rPr>
          <w:lang w:val="id-ID"/>
        </w:rPr>
        <w:t xml:space="preserve">pemerintah untuk mendistribusikan sumber daya berdasarkan pada efektivitas program publik untuk mencapai tujuan strategisnya. </w:t>
      </w:r>
      <w:r w:rsidRPr="00063D1B">
        <w:t xml:space="preserve">Efisiensi alokasi akan terlihat dari komposisi belanja pemerintah yang sesuai dengan arah tujuan strategis yang hendak dicapai.  </w:t>
      </w:r>
      <w:r>
        <w:t>Tujuan strategis termuat dalam RPJMD sebagai dokumen perencanaan lima tahunan yang berisi visi dan misi yang hendak dicapai oleh K</w:t>
      </w:r>
      <w:r w:rsidR="00370C0B">
        <w:t>ota Solok</w:t>
      </w:r>
      <w:r>
        <w:t xml:space="preserve">. Efisiensi alokasi akan terjadi jika alokasi anggaran mengarah pada upaya mencapaian visi dan misi yang akan terlihat dari komposisi anggarannya. </w:t>
      </w:r>
    </w:p>
    <w:p w:rsidR="006A1D01" w:rsidRDefault="005059A4" w:rsidP="006A1D01">
      <w:pPr>
        <w:autoSpaceDE w:val="0"/>
        <w:autoSpaceDN w:val="0"/>
        <w:adjustRightInd w:val="0"/>
        <w:ind w:firstLine="720"/>
        <w:rPr>
          <w:lang w:val="en-US"/>
        </w:rPr>
      </w:pPr>
      <w:r>
        <w:t xml:space="preserve">Studi terhadap dokumen RPJMD dan APBD </w:t>
      </w:r>
      <w:r w:rsidR="006A1D01">
        <w:t>di Kota Solok</w:t>
      </w:r>
      <w:r>
        <w:t xml:space="preserve"> menemukan bahwa efisiensi alokasi belum tercapai (terjadi inefisiensi alokasi). Inefisiensi alokasi disebabkan adanya patologi anggaran. Schick menyebutkan ada empat penyakit anggaran yang menyerang efisiensi alokasi, mencakup: (1) </w:t>
      </w:r>
      <w:r w:rsidRPr="003202AB">
        <w:rPr>
          <w:i/>
        </w:rPr>
        <w:t>short-term budgeting</w:t>
      </w:r>
      <w:r>
        <w:t xml:space="preserve">; (2) </w:t>
      </w:r>
      <w:r w:rsidRPr="003202AB">
        <w:rPr>
          <w:i/>
        </w:rPr>
        <w:t>escapist budgeting</w:t>
      </w:r>
      <w:r>
        <w:t xml:space="preserve">; (3) </w:t>
      </w:r>
      <w:r w:rsidRPr="003202AB">
        <w:rPr>
          <w:i/>
        </w:rPr>
        <w:t>distorted budgeting</w:t>
      </w:r>
      <w:r>
        <w:t xml:space="preserve">; dan (4) </w:t>
      </w:r>
      <w:r w:rsidRPr="003202AB">
        <w:rPr>
          <w:i/>
        </w:rPr>
        <w:t>enclave budgeting</w:t>
      </w:r>
      <w:r>
        <w:t xml:space="preserve">. </w:t>
      </w:r>
      <w:r w:rsidRPr="00F960FD">
        <w:rPr>
          <w:i/>
        </w:rPr>
        <w:t xml:space="preserve">Short-term budgeting </w:t>
      </w:r>
      <w:r>
        <w:t xml:space="preserve">dan </w:t>
      </w:r>
      <w:r w:rsidRPr="003202AB">
        <w:rPr>
          <w:i/>
        </w:rPr>
        <w:t>distorted budgeting</w:t>
      </w:r>
      <w:r>
        <w:t xml:space="preserve"> merupakan dua penyakit anggaran yang terjadi di </w:t>
      </w:r>
      <w:r w:rsidR="006A1D01">
        <w:t>Kota Solok</w:t>
      </w:r>
      <w:r>
        <w:t xml:space="preserve">. </w:t>
      </w:r>
      <w:r>
        <w:rPr>
          <w:i/>
        </w:rPr>
        <w:t>S</w:t>
      </w:r>
      <w:r w:rsidRPr="007F44AC">
        <w:rPr>
          <w:i/>
        </w:rPr>
        <w:t>hort-term budgeting</w:t>
      </w:r>
      <w:r>
        <w:t xml:space="preserve"> adalah satu kondisi dimana a</w:t>
      </w:r>
      <w:r w:rsidRPr="00063D1B">
        <w:rPr>
          <w:lang w:val="id-ID"/>
        </w:rPr>
        <w:t>nggaran pemerintah dibuat tahun</w:t>
      </w:r>
      <w:r w:rsidRPr="00063D1B">
        <w:t>an</w:t>
      </w:r>
      <w:r w:rsidRPr="00063D1B">
        <w:rPr>
          <w:lang w:val="id-ID"/>
        </w:rPr>
        <w:t xml:space="preserve"> dan tidak memperhitungkan implikasinya dalam jangka menengah</w:t>
      </w:r>
      <w:r>
        <w:t xml:space="preserve"> yang terjadi karena gagal </w:t>
      </w:r>
      <w:r w:rsidRPr="00063D1B">
        <w:rPr>
          <w:lang w:val="id-ID"/>
        </w:rPr>
        <w:t xml:space="preserve"> mengaitkan antara kebijakan, perencanaan dan penganggaran karena sistem yang terfragmentasi </w:t>
      </w:r>
      <w:r>
        <w:t xml:space="preserve">yang disebabkan </w:t>
      </w:r>
      <w:r w:rsidRPr="00063D1B">
        <w:rPr>
          <w:lang w:val="id-ID"/>
        </w:rPr>
        <w:t>pembuatan kebijakan, perencanaan dan p</w:t>
      </w:r>
      <w:r>
        <w:rPr>
          <w:lang w:val="id-ID"/>
        </w:rPr>
        <w:t>enganggaran bersifat independen</w:t>
      </w:r>
      <w:r w:rsidRPr="00063D1B">
        <w:rPr>
          <w:lang w:val="id-ID"/>
        </w:rPr>
        <w:t xml:space="preserve"> satu dengan yang lainnya.</w:t>
      </w:r>
      <w:r w:rsidRPr="004949D2">
        <w:rPr>
          <w:lang w:val="id-ID"/>
        </w:rPr>
        <w:t xml:space="preserve"> </w:t>
      </w:r>
      <w:r w:rsidR="000030A9" w:rsidRPr="00F25F76">
        <w:rPr>
          <w:szCs w:val="24"/>
          <w:lang w:eastAsia="id-ID"/>
        </w:rPr>
        <w:t xml:space="preserve">Terjadinya fragmentasi sebagaimana yang diungkapkan oleh Lee, Joyce&amp; Johnson (2013) bahwa </w:t>
      </w:r>
      <w:r w:rsidR="000030A9" w:rsidRPr="00F25F76">
        <w:rPr>
          <w:i/>
          <w:szCs w:val="24"/>
          <w:lang w:eastAsia="id-ID"/>
        </w:rPr>
        <w:t xml:space="preserve">organizational units within line agencies tend to be concerned primarily with their own promgrams and frequently fail to take a broad perspective, </w:t>
      </w:r>
      <w:r w:rsidR="000030A9" w:rsidRPr="00F25F76">
        <w:rPr>
          <w:szCs w:val="24"/>
          <w:lang w:eastAsia="id-ID"/>
        </w:rPr>
        <w:t xml:space="preserve">merupakan keniscayaan bahwa organisasi publik terlalu larut untuk memperjuangkan apa yang menjadi kepentingannya dalam anggaran sehingga mereka lupa bahwa yang utama itu adalah bagaimana kepentingan publik dapat terakomodir dengan baik.  </w:t>
      </w:r>
      <w:r w:rsidR="000030A9" w:rsidRPr="00F25F76">
        <w:rPr>
          <w:szCs w:val="24"/>
        </w:rPr>
        <w:t xml:space="preserve">Jika memang proporsi ini secara kuantitas menjadi sebuah </w:t>
      </w:r>
      <w:r w:rsidR="000030A9">
        <w:rPr>
          <w:szCs w:val="24"/>
        </w:rPr>
        <w:t xml:space="preserve">keidealan dan kebutuhan bagi Kota Solok maka perlu dikaji lebih jauh bagaimana secara kualitas alokasi anggaran yang sedemikian.  Sehingga pembahasan RAPBD pada forum paripurna DPRD menjadi sangat penting untuk menjaga kesesuaian antara Kebijakan Umum APBD serta prioritas dan plafon anggaran sementara dengan program dan kegiatan yang diusulkan dalam Ranperda APBD. </w:t>
      </w:r>
      <w:r>
        <w:t>P</w:t>
      </w:r>
      <w:r w:rsidRPr="00C92498">
        <w:rPr>
          <w:lang w:val="id-ID"/>
        </w:rPr>
        <w:t xml:space="preserve">enganggaran dimaknai sebagai ritual anggaran tahunan, bukan praktek yang berdasarkan kebijakan sehingga terjadi kegagalan dalam mengaitkan secara langsung sumber daya dengan prioritas kebijakan </w:t>
      </w:r>
      <w:r>
        <w:t xml:space="preserve">yang </w:t>
      </w:r>
      <w:r w:rsidRPr="00C92498">
        <w:rPr>
          <w:lang w:val="id-ID"/>
        </w:rPr>
        <w:t xml:space="preserve"> mengarah pada </w:t>
      </w:r>
      <w:r w:rsidRPr="00C92498">
        <w:rPr>
          <w:i/>
          <w:iCs/>
          <w:lang w:val="id-ID"/>
        </w:rPr>
        <w:t>mismatch</w:t>
      </w:r>
      <w:r w:rsidRPr="00C92498">
        <w:rPr>
          <w:lang w:val="id-ID"/>
        </w:rPr>
        <w:t xml:space="preserve"> massif antara apa yang dijanjikan melalui kebijakan pemerintah dan apa yang dapat disediakan. </w:t>
      </w:r>
    </w:p>
    <w:p w:rsidR="006A1D01" w:rsidRDefault="005059A4" w:rsidP="006A1D01">
      <w:pPr>
        <w:autoSpaceDE w:val="0"/>
        <w:autoSpaceDN w:val="0"/>
        <w:adjustRightInd w:val="0"/>
        <w:ind w:firstLine="720"/>
        <w:rPr>
          <w:lang w:val="en-US"/>
        </w:rPr>
      </w:pPr>
      <w:r>
        <w:rPr>
          <w:i/>
        </w:rPr>
        <w:t>S</w:t>
      </w:r>
      <w:r w:rsidRPr="007F44AC">
        <w:rPr>
          <w:i/>
        </w:rPr>
        <w:t>hort-term budgeting</w:t>
      </w:r>
      <w:r>
        <w:t xml:space="preserve"> berawal dari tidak digunakannya RPJMD sebagai  acuan dalam penyusunan program dan kegiatan tahunan  yang berawal dari tidak adanya kontrol dari Bappeda terkait penyusunan Renstra SKPD</w:t>
      </w:r>
      <w:r w:rsidR="006A1D01">
        <w:t xml:space="preserve">. </w:t>
      </w:r>
      <w:r>
        <w:rPr>
          <w:lang w:val="id-ID"/>
        </w:rPr>
        <w:t xml:space="preserve">Inkonsistensi antara dokumen perencanaan lima tahunan dengan anggaran tahunan  menjadikan visi misi yang tercantum dalam RPJMD menjadi sulit untuk dicapai yang semakin diperparah  praktik dana aspirasi DPRD yang substansinya murni dari konstituen tanpa pernah melihat dokumen perencanaan pembangunan sehingga pada akhirnya terjadi miss-match yang massif antara dokumen perencanaan lima tahunan dan </w:t>
      </w:r>
      <w:r>
        <w:rPr>
          <w:lang w:val="id-ID"/>
        </w:rPr>
        <w:lastRenderedPageBreak/>
        <w:t xml:space="preserve">anggaran tahunan dan sekaligus menunjukkan tidak adanya efisiensi alokasi dalam anggaran </w:t>
      </w:r>
      <w:r w:rsidR="006A1D01">
        <w:rPr>
          <w:lang w:val="en-US"/>
        </w:rPr>
        <w:t xml:space="preserve">Kota Solok. </w:t>
      </w:r>
    </w:p>
    <w:p w:rsidR="005059A4" w:rsidRPr="00455A2D" w:rsidRDefault="005059A4" w:rsidP="006A1D01">
      <w:pPr>
        <w:autoSpaceDE w:val="0"/>
        <w:autoSpaceDN w:val="0"/>
        <w:adjustRightInd w:val="0"/>
        <w:ind w:firstLine="720"/>
        <w:rPr>
          <w:lang w:val="id-ID"/>
        </w:rPr>
      </w:pPr>
      <w:r>
        <w:rPr>
          <w:lang w:val="id-ID"/>
        </w:rPr>
        <w:t xml:space="preserve">Penyakit anggaran kedua yang dialami oleh </w:t>
      </w:r>
      <w:r w:rsidR="006A1D01">
        <w:rPr>
          <w:lang w:val="en-US"/>
        </w:rPr>
        <w:t>Kota Solok</w:t>
      </w:r>
      <w:r>
        <w:rPr>
          <w:lang w:val="id-ID"/>
        </w:rPr>
        <w:t xml:space="preserve"> yang mengakibatkan inefisiensi alokasi adalah </w:t>
      </w:r>
      <w:r w:rsidRPr="00455A2D">
        <w:rPr>
          <w:i/>
          <w:lang w:val="id-ID"/>
        </w:rPr>
        <w:t>distorted budgeting</w:t>
      </w:r>
      <w:r>
        <w:rPr>
          <w:lang w:val="id-ID"/>
        </w:rPr>
        <w:t xml:space="preserve">. </w:t>
      </w:r>
      <w:r w:rsidRPr="00937FCC">
        <w:rPr>
          <w:i/>
        </w:rPr>
        <w:t>Distorted budgeting</w:t>
      </w:r>
      <w:r>
        <w:t xml:space="preserve"> adalah satu kondisi dimana s</w:t>
      </w:r>
      <w:r w:rsidRPr="00063D1B">
        <w:rPr>
          <w:lang w:val="id-ID"/>
        </w:rPr>
        <w:t xml:space="preserve">umber daya yang terbatas dibelanjakan dalam proyek mercusuar sedangkan  proyek terkait </w:t>
      </w:r>
      <w:r w:rsidRPr="00063D1B">
        <w:rPr>
          <w:i/>
          <w:iCs/>
          <w:lang w:val="id-ID"/>
        </w:rPr>
        <w:t>human capital</w:t>
      </w:r>
      <w:r w:rsidRPr="00063D1B">
        <w:rPr>
          <w:lang w:val="id-ID"/>
        </w:rPr>
        <w:t xml:space="preserve"> tidak prioritas</w:t>
      </w:r>
      <w:r>
        <w:rPr>
          <w:lang w:val="id-ID"/>
        </w:rPr>
        <w:t xml:space="preserve"> </w:t>
      </w:r>
      <w:r>
        <w:t xml:space="preserve">(terjadi misalokasi). Dalam konteks </w:t>
      </w:r>
      <w:r w:rsidR="000030A9">
        <w:rPr>
          <w:lang w:val="en-US"/>
        </w:rPr>
        <w:t>Kota Solok</w:t>
      </w:r>
      <w:r>
        <w:t>,  d</w:t>
      </w:r>
      <w:r w:rsidRPr="00937FCC">
        <w:rPr>
          <w:i/>
        </w:rPr>
        <w:t>istorted budgeting</w:t>
      </w:r>
      <w:r>
        <w:rPr>
          <w:i/>
        </w:rPr>
        <w:t xml:space="preserve"> </w:t>
      </w:r>
      <w:r>
        <w:t xml:space="preserve"> dapat terlihat dari besarnya alokasi anggaran untuk kegiatan-kegiatan yang tidak terlalu penting, </w:t>
      </w:r>
      <w:r>
        <w:rPr>
          <w:lang w:val="id-ID"/>
        </w:rPr>
        <w:t xml:space="preserve">kegiatan yang </w:t>
      </w:r>
      <w:r>
        <w:t xml:space="preserve">dianggarkan terlampau besar (melebihi kebutuhan) dan tidak sesuai dengan prinsip ekonomis, efisiensi dan efektivitas </w:t>
      </w:r>
      <w:r>
        <w:rPr>
          <w:lang w:val="id-ID"/>
        </w:rPr>
        <w:t xml:space="preserve"> (3E) </w:t>
      </w:r>
      <w:r>
        <w:t xml:space="preserve">sebagaimana yang </w:t>
      </w:r>
      <w:r w:rsidR="008F2E80">
        <w:t xml:space="preserve">dikemukakan oleh </w:t>
      </w:r>
      <w:r w:rsidR="008F2E80">
        <w:rPr>
          <w:szCs w:val="24"/>
        </w:rPr>
        <w:t xml:space="preserve">Bastian (2010) mengatakan bahwa prinsip penganggaran yang sangat terkenal adalah </w:t>
      </w:r>
      <w:r w:rsidR="008F2E80" w:rsidRPr="00AF08B7">
        <w:rPr>
          <w:i/>
          <w:szCs w:val="24"/>
        </w:rPr>
        <w:t>the Three Es</w:t>
      </w:r>
      <w:r w:rsidR="008F2E80">
        <w:rPr>
          <w:szCs w:val="24"/>
        </w:rPr>
        <w:t xml:space="preserve"> yaitu ekonomis, efisien, dan efektif. Ekonomis hanya berkaitan dengan input; efektivitas hanya berkaitan dengan output; sedangkan efisiensi adalah kaitan antara input dan output.</w:t>
      </w:r>
    </w:p>
    <w:p w:rsidR="001450B2" w:rsidRPr="00E15733" w:rsidRDefault="001450B2" w:rsidP="00C040CB">
      <w:pPr>
        <w:ind w:firstLine="0"/>
      </w:pPr>
    </w:p>
    <w:p w:rsidR="0024288D" w:rsidRDefault="0099078E" w:rsidP="005059A4">
      <w:pPr>
        <w:pStyle w:val="Heading1"/>
        <w:numPr>
          <w:ilvl w:val="0"/>
          <w:numId w:val="2"/>
        </w:numPr>
        <w:ind w:left="450" w:hanging="450"/>
        <w:rPr>
          <w:noProof w:val="0"/>
          <w:lang w:val="en-GB"/>
        </w:rPr>
      </w:pPr>
      <w:r>
        <w:rPr>
          <w:noProof w:val="0"/>
          <w:lang w:val="en-GB"/>
        </w:rPr>
        <w:t>KESIMPULAN</w:t>
      </w:r>
    </w:p>
    <w:p w:rsidR="005059A4" w:rsidRDefault="00AF38DA" w:rsidP="00BB33F7">
      <w:pPr>
        <w:ind w:firstLine="709"/>
        <w:rPr>
          <w:lang w:val="id-ID"/>
        </w:rPr>
      </w:pPr>
      <w:r>
        <w:t>Berdasarkan proses penganggaran</w:t>
      </w:r>
      <w:r w:rsidR="00370C0B">
        <w:t xml:space="preserve"> dan</w:t>
      </w:r>
      <w:r>
        <w:t xml:space="preserve"> mekanisme pengalokasian anggaran di Kota Solok maka dapat diambil kesimpulan bahwa implementasi Manajemen Belanja Publik </w:t>
      </w:r>
      <w:r w:rsidR="00DE6587">
        <w:t xml:space="preserve">di Kota Solok </w:t>
      </w:r>
      <w:r>
        <w:t xml:space="preserve">belum berjalan dengan baik yang ditandai dengan </w:t>
      </w:r>
      <w:r>
        <w:rPr>
          <w:lang w:val="id-ID"/>
        </w:rPr>
        <w:t>lemahnya disiplin fiskal agregat dan inefisiensi alokasi.</w:t>
      </w:r>
      <w:r>
        <w:rPr>
          <w:lang w:val="en-US"/>
        </w:rPr>
        <w:t xml:space="preserve"> </w:t>
      </w:r>
      <w:r>
        <w:rPr>
          <w:lang w:val="id-ID"/>
        </w:rPr>
        <w:t xml:space="preserve">Lemahnya disiplin fiskal agregat ditandai dengan adanya  penyakit </w:t>
      </w:r>
      <w:r w:rsidRPr="00573F9B">
        <w:rPr>
          <w:i/>
          <w:lang w:val="id-ID"/>
        </w:rPr>
        <w:t>unrealistic budgeting</w:t>
      </w:r>
      <w:r>
        <w:rPr>
          <w:lang w:val="id-ID"/>
        </w:rPr>
        <w:t xml:space="preserve"> dan </w:t>
      </w:r>
      <w:r w:rsidRPr="00573F9B">
        <w:rPr>
          <w:i/>
          <w:lang w:val="id-ID"/>
        </w:rPr>
        <w:t>repetitive budgeting</w:t>
      </w:r>
      <w:r>
        <w:rPr>
          <w:lang w:val="id-ID"/>
        </w:rPr>
        <w:t>.</w:t>
      </w:r>
      <w:r>
        <w:rPr>
          <w:lang w:val="en-US"/>
        </w:rPr>
        <w:t xml:space="preserve"> </w:t>
      </w:r>
      <w:r>
        <w:rPr>
          <w:lang w:val="id-ID"/>
        </w:rPr>
        <w:t xml:space="preserve">Inefisiensi alokasi ditandai dengan adanya  penyakit </w:t>
      </w:r>
      <w:r w:rsidRPr="00573F9B">
        <w:rPr>
          <w:i/>
          <w:lang w:val="id-ID"/>
        </w:rPr>
        <w:t>short-term budgeting</w:t>
      </w:r>
      <w:r>
        <w:rPr>
          <w:lang w:val="id-ID"/>
        </w:rPr>
        <w:t xml:space="preserve"> dan </w:t>
      </w:r>
      <w:r w:rsidRPr="00573F9B">
        <w:rPr>
          <w:i/>
          <w:lang w:val="id-ID"/>
        </w:rPr>
        <w:t>distorted budgeting</w:t>
      </w:r>
      <w:r>
        <w:rPr>
          <w:lang w:val="id-ID"/>
        </w:rPr>
        <w:t>. Reformasi penganggaran perlu dilakukan dengan m</w:t>
      </w:r>
      <w:r>
        <w:t xml:space="preserve">enata ulang aturan main </w:t>
      </w:r>
      <w:r>
        <w:rPr>
          <w:lang w:val="id-ID"/>
        </w:rPr>
        <w:t>yang mencakup</w:t>
      </w:r>
      <w:r>
        <w:t>:</w:t>
      </w:r>
      <w:r w:rsidR="005059A4" w:rsidRPr="0056184A">
        <w:rPr>
          <w:lang w:val="id-ID"/>
        </w:rPr>
        <w:t xml:space="preserve">Praktik penganggaran </w:t>
      </w:r>
      <w:r w:rsidR="00DE6587">
        <w:t xml:space="preserve">di Kota Solok </w:t>
      </w:r>
      <w:r w:rsidR="005059A4" w:rsidRPr="0056184A">
        <w:rPr>
          <w:lang w:val="id-ID"/>
        </w:rPr>
        <w:t>baik yang bersifat formal maupun informal sesuai dengan ciri-ciri sistem penganggaran yang membutuhkan reformasi sebagaimana yang dijelaskan oleh Bank Dunia (1998</w:t>
      </w:r>
      <w:r w:rsidR="005059A4">
        <w:rPr>
          <w:lang w:val="id-ID"/>
        </w:rPr>
        <w:t>), mencakup</w:t>
      </w:r>
      <w:r w:rsidR="005059A4">
        <w:t>:</w:t>
      </w:r>
      <w:r w:rsidR="005059A4">
        <w:rPr>
          <w:lang w:val="id-ID"/>
        </w:rPr>
        <w:t xml:space="preserve"> (1) penggunaan pendekatan jangka pendek sebagai akibat fokus dalam pembuatan keputusan anggaran; (2) </w:t>
      </w:r>
      <w:r w:rsidR="005059A4" w:rsidRPr="002B1976">
        <w:rPr>
          <w:i/>
          <w:lang w:val="id-ID"/>
        </w:rPr>
        <w:t>last minute</w:t>
      </w:r>
      <w:r w:rsidR="005059A4">
        <w:rPr>
          <w:lang w:val="id-ID"/>
        </w:rPr>
        <w:t xml:space="preserve"> dalam pemotongan anggaran; (3) pendanaan tidak bisa diprediksi sebagai akibat </w:t>
      </w:r>
      <w:r w:rsidR="005059A4" w:rsidRPr="002B1976">
        <w:rPr>
          <w:i/>
          <w:lang w:val="id-ID"/>
        </w:rPr>
        <w:t>last minute</w:t>
      </w:r>
      <w:r w:rsidR="005059A4">
        <w:rPr>
          <w:lang w:val="id-ID"/>
        </w:rPr>
        <w:t xml:space="preserve"> pemotongan anggaran; (4) </w:t>
      </w:r>
      <w:r w:rsidR="005059A4" w:rsidRPr="0056184A">
        <w:rPr>
          <w:lang w:val="id-ID"/>
        </w:rPr>
        <w:t xml:space="preserve"> </w:t>
      </w:r>
      <w:r w:rsidR="005059A4">
        <w:rPr>
          <w:lang w:val="id-ID"/>
        </w:rPr>
        <w:t xml:space="preserve">kebijakan saat ini (dibandingkan dengan dananya) jarang dicermati dengan teliti dari tahun ke tahun berikutnya. </w:t>
      </w:r>
    </w:p>
    <w:p w:rsidR="005059A4" w:rsidRDefault="005059A4" w:rsidP="00DE6587">
      <w:pPr>
        <w:ind w:left="142"/>
        <w:rPr>
          <w:lang w:val="id-ID"/>
        </w:rPr>
      </w:pPr>
      <w:r>
        <w:rPr>
          <w:lang w:val="id-ID"/>
        </w:rPr>
        <w:tab/>
        <w:t xml:space="preserve">Manajemen Belanja Publik menawarkan  pembenahan berdasarkan kerangka konseptual tatanan kelembagaan dan peran masing-masing institusi </w:t>
      </w:r>
      <w:r w:rsidRPr="00063D1B">
        <w:rPr>
          <w:lang w:val="id-ID"/>
        </w:rPr>
        <w:t>yang dapat dioptimalkan dan menciptakan k</w:t>
      </w:r>
      <w:r>
        <w:rPr>
          <w:lang w:val="id-ID"/>
        </w:rPr>
        <w:t>e</w:t>
      </w:r>
      <w:r w:rsidRPr="00063D1B">
        <w:rPr>
          <w:lang w:val="id-ID"/>
        </w:rPr>
        <w:t>seimbangan kekuasaan antar insitusi</w:t>
      </w:r>
      <w:r>
        <w:rPr>
          <w:lang w:val="id-ID"/>
        </w:rPr>
        <w:t>.</w:t>
      </w:r>
      <w:r>
        <w:t xml:space="preserve"> </w:t>
      </w:r>
      <w:r>
        <w:rPr>
          <w:lang w:val="id-ID"/>
        </w:rPr>
        <w:t>Upaya reformasi penganggaran di K</w:t>
      </w:r>
      <w:r w:rsidR="00370C0B">
        <w:rPr>
          <w:lang w:val="en-US"/>
        </w:rPr>
        <w:t>ota Solok</w:t>
      </w:r>
      <w:r>
        <w:rPr>
          <w:lang w:val="id-ID"/>
        </w:rPr>
        <w:t xml:space="preserve"> dapat diarahkan untuk  melaksanakan apa yang disebut dengan </w:t>
      </w:r>
      <w:r>
        <w:rPr>
          <w:i/>
          <w:lang w:val="id-ID"/>
        </w:rPr>
        <w:t>Getting The Basics</w:t>
      </w:r>
      <w:r w:rsidRPr="00EF2524">
        <w:rPr>
          <w:i/>
          <w:lang w:val="id-ID"/>
        </w:rPr>
        <w:t xml:space="preserve"> Right</w:t>
      </w:r>
      <w:r>
        <w:rPr>
          <w:lang w:val="id-ID"/>
        </w:rPr>
        <w:t xml:space="preserve"> oleh Schick, meliputi: (1) </w:t>
      </w:r>
      <w:r w:rsidRPr="00063D1B">
        <w:rPr>
          <w:lang w:val="id-ID"/>
        </w:rPr>
        <w:t>mendorong lingkungan yang mendorong dan membutuhkan kinerja sebelum mem</w:t>
      </w:r>
      <w:r>
        <w:rPr>
          <w:lang w:val="id-ID"/>
        </w:rPr>
        <w:t xml:space="preserve">perkenalkan penganggaran kinerja; (2) </w:t>
      </w:r>
      <w:r w:rsidRPr="00063D1B">
        <w:rPr>
          <w:lang w:val="id-ID"/>
        </w:rPr>
        <w:t>mengontrol masukan (</w:t>
      </w:r>
      <w:r w:rsidRPr="00063D1B">
        <w:rPr>
          <w:i/>
          <w:lang w:val="id-ID"/>
        </w:rPr>
        <w:t>input</w:t>
      </w:r>
      <w:r w:rsidRPr="00063D1B">
        <w:rPr>
          <w:lang w:val="id-ID"/>
        </w:rPr>
        <w:t xml:space="preserve">) sebelum upaya untuk mengontrol </w:t>
      </w:r>
      <w:r w:rsidR="00370C0B">
        <w:rPr>
          <w:i/>
          <w:lang w:val="id-ID"/>
        </w:rPr>
        <w:t>out</w:t>
      </w:r>
      <w:r w:rsidRPr="00063D1B">
        <w:rPr>
          <w:i/>
          <w:lang w:val="id-ID"/>
        </w:rPr>
        <w:t>put</w:t>
      </w:r>
      <w:r>
        <w:rPr>
          <w:i/>
          <w:lang w:val="id-ID"/>
        </w:rPr>
        <w:t xml:space="preserve">; (3) </w:t>
      </w:r>
      <w:r w:rsidRPr="00A4768C">
        <w:rPr>
          <w:i/>
          <w:lang w:val="id-ID"/>
        </w:rPr>
        <w:t>membentuk pengawasan eksternal sebelum memperkenalkan pengawasan internal</w:t>
      </w:r>
      <w:r>
        <w:rPr>
          <w:i/>
          <w:lang w:val="id-ID"/>
        </w:rPr>
        <w:t xml:space="preserve">; (4) </w:t>
      </w:r>
      <w:r w:rsidRPr="00063D1B">
        <w:rPr>
          <w:lang w:val="id-ID"/>
        </w:rPr>
        <w:t>) melaksanakan sistem akuntansi yang dapat diandalkan sebelum menggunakan sistem manajemen finansial yang terintegrasi</w:t>
      </w:r>
      <w:r>
        <w:rPr>
          <w:lang w:val="id-ID"/>
        </w:rPr>
        <w:t xml:space="preserve">; (5) </w:t>
      </w:r>
      <w:r w:rsidRPr="00063D1B">
        <w:rPr>
          <w:lang w:val="id-ID"/>
        </w:rPr>
        <w:t>menyusun anggaran sebagai suatu rencana yang akan dilakukan (realistis)  sebelum menggunakan anggaran yang berorientasi kinerja</w:t>
      </w:r>
      <w:r>
        <w:rPr>
          <w:lang w:val="id-ID"/>
        </w:rPr>
        <w:t xml:space="preserve">; dan (6) </w:t>
      </w:r>
      <w:r w:rsidRPr="00063D1B">
        <w:rPr>
          <w:lang w:val="id-ID"/>
        </w:rPr>
        <w:t xml:space="preserve">melaksanakan anggaran yang dapat diprediksi sebelum menuntut </w:t>
      </w:r>
      <w:r>
        <w:rPr>
          <w:lang w:val="id-ID"/>
        </w:rPr>
        <w:t>pelaksana</w:t>
      </w:r>
      <w:r w:rsidRPr="00063D1B">
        <w:rPr>
          <w:lang w:val="id-ID"/>
        </w:rPr>
        <w:t xml:space="preserve"> efisien dalam menggunakan dana yang dipercayakan kepadanya.</w:t>
      </w:r>
      <w:r>
        <w:rPr>
          <w:lang w:val="id-ID"/>
        </w:rPr>
        <w:t xml:space="preserve"> Pembenahan penganggaran </w:t>
      </w:r>
      <w:r w:rsidR="00DE6587">
        <w:t xml:space="preserve">di Kota Solok </w:t>
      </w:r>
      <w:r>
        <w:t xml:space="preserve">dan </w:t>
      </w:r>
      <w:r w:rsidR="00DE6587">
        <w:t>bias jadi kota/</w:t>
      </w:r>
      <w:r>
        <w:t xml:space="preserve">kabupaten lain yang kondisinya serupa </w:t>
      </w:r>
      <w:r>
        <w:rPr>
          <w:lang w:val="id-ID"/>
        </w:rPr>
        <w:t xml:space="preserve">dapat dilakukan dengan menata ulang aturan main, peran aktor dan informasi yang tersedia. </w:t>
      </w:r>
    </w:p>
    <w:p w:rsidR="0024288D" w:rsidRDefault="00A3047B" w:rsidP="0024288D">
      <w:pPr>
        <w:pStyle w:val="HeaderAbs"/>
        <w:rPr>
          <w:lang w:val="en-GB"/>
        </w:rPr>
      </w:pPr>
      <w:r>
        <w:rPr>
          <w:lang w:val="en-GB"/>
        </w:rPr>
        <w:lastRenderedPageBreak/>
        <w:t>DAFTAR PUSTAKA</w:t>
      </w:r>
    </w:p>
    <w:p w:rsidR="00A254F7" w:rsidRDefault="00A254F7" w:rsidP="00A254F7">
      <w:pPr>
        <w:pStyle w:val="NoSpacing"/>
        <w:ind w:left="720" w:hanging="720"/>
        <w:jc w:val="both"/>
        <w:rPr>
          <w:rFonts w:ascii="Times New Roman" w:hAnsi="Times New Roman"/>
          <w:sz w:val="24"/>
          <w:szCs w:val="24"/>
        </w:rPr>
      </w:pPr>
      <w:r w:rsidRPr="00A876F9">
        <w:rPr>
          <w:rFonts w:ascii="Times New Roman" w:hAnsi="Times New Roman"/>
          <w:sz w:val="24"/>
          <w:szCs w:val="24"/>
        </w:rPr>
        <w:t>A</w:t>
      </w:r>
      <w:r>
        <w:rPr>
          <w:rFonts w:ascii="Times New Roman" w:hAnsi="Times New Roman"/>
          <w:sz w:val="24"/>
          <w:szCs w:val="24"/>
        </w:rPr>
        <w:t>nggarini, Yunita dan Puranto, B. Hendra (</w:t>
      </w:r>
      <w:r w:rsidRPr="00A876F9">
        <w:rPr>
          <w:rFonts w:ascii="Times New Roman" w:hAnsi="Times New Roman"/>
          <w:sz w:val="24"/>
          <w:szCs w:val="24"/>
        </w:rPr>
        <w:t>201</w:t>
      </w:r>
      <w:r>
        <w:rPr>
          <w:rFonts w:ascii="Times New Roman" w:hAnsi="Times New Roman"/>
          <w:sz w:val="24"/>
          <w:szCs w:val="24"/>
        </w:rPr>
        <w:t>0)</w:t>
      </w:r>
      <w:r w:rsidRPr="00A876F9">
        <w:rPr>
          <w:rFonts w:ascii="Times New Roman" w:hAnsi="Times New Roman"/>
          <w:sz w:val="24"/>
          <w:szCs w:val="24"/>
        </w:rPr>
        <w:t xml:space="preserve"> </w:t>
      </w:r>
      <w:r>
        <w:rPr>
          <w:rFonts w:ascii="Times New Roman" w:hAnsi="Times New Roman"/>
          <w:i/>
          <w:sz w:val="24"/>
          <w:szCs w:val="24"/>
        </w:rPr>
        <w:t>Anggaran Berbasis Kinerja: Penyusunan APBD Secara Komprehensi</w:t>
      </w:r>
      <w:r w:rsidRPr="00A876F9">
        <w:rPr>
          <w:rFonts w:ascii="Times New Roman" w:hAnsi="Times New Roman"/>
          <w:sz w:val="24"/>
          <w:szCs w:val="24"/>
        </w:rPr>
        <w:t xml:space="preserve">. </w:t>
      </w:r>
      <w:r>
        <w:rPr>
          <w:rFonts w:ascii="Times New Roman" w:hAnsi="Times New Roman"/>
          <w:sz w:val="24"/>
          <w:szCs w:val="24"/>
        </w:rPr>
        <w:t xml:space="preserve">UPP STIM YKPN: </w:t>
      </w:r>
      <w:r w:rsidRPr="0064746A">
        <w:rPr>
          <w:rFonts w:ascii="Times New Roman" w:hAnsi="Times New Roman"/>
          <w:sz w:val="24"/>
          <w:szCs w:val="24"/>
        </w:rPr>
        <w:t xml:space="preserve">Yogyakarta. </w:t>
      </w:r>
    </w:p>
    <w:p w:rsidR="00795E85" w:rsidRPr="0064746A" w:rsidRDefault="00795E85" w:rsidP="00A254F7">
      <w:pPr>
        <w:pStyle w:val="NoSpacing"/>
        <w:ind w:left="720" w:hanging="720"/>
        <w:jc w:val="both"/>
        <w:rPr>
          <w:rFonts w:ascii="Times New Roman" w:hAnsi="Times New Roman"/>
          <w:sz w:val="24"/>
          <w:szCs w:val="24"/>
        </w:rPr>
      </w:pPr>
    </w:p>
    <w:p w:rsidR="00FE2A82" w:rsidRDefault="00FE2A82" w:rsidP="00FE2A82">
      <w:pPr>
        <w:ind w:firstLine="0"/>
        <w:rPr>
          <w:sz w:val="23"/>
          <w:szCs w:val="23"/>
        </w:rPr>
      </w:pPr>
      <w:r>
        <w:rPr>
          <w:sz w:val="23"/>
          <w:szCs w:val="23"/>
        </w:rPr>
        <w:t xml:space="preserve">ADB Governance Brief. (2001). </w:t>
      </w:r>
      <w:r w:rsidRPr="00B6296A">
        <w:rPr>
          <w:i/>
          <w:iCs/>
          <w:sz w:val="23"/>
          <w:szCs w:val="23"/>
        </w:rPr>
        <w:t>What is Public Expenditure Management (PEM)</w:t>
      </w:r>
      <w:r>
        <w:rPr>
          <w:sz w:val="23"/>
          <w:szCs w:val="23"/>
        </w:rPr>
        <w:t>?</w:t>
      </w:r>
    </w:p>
    <w:p w:rsidR="00795E85" w:rsidRDefault="00795E85" w:rsidP="00FE2A82">
      <w:pPr>
        <w:ind w:firstLine="0"/>
        <w:rPr>
          <w:sz w:val="23"/>
          <w:szCs w:val="23"/>
        </w:rPr>
      </w:pPr>
    </w:p>
    <w:p w:rsidR="00795E85" w:rsidRDefault="00003ABB" w:rsidP="00003ABB">
      <w:pPr>
        <w:pStyle w:val="NoSpacing"/>
        <w:ind w:left="720" w:hanging="720"/>
        <w:jc w:val="both"/>
        <w:rPr>
          <w:rFonts w:ascii="Times New Roman" w:hAnsi="Times New Roman"/>
          <w:sz w:val="24"/>
          <w:szCs w:val="24"/>
        </w:rPr>
      </w:pPr>
      <w:r w:rsidRPr="00A876F9">
        <w:rPr>
          <w:rFonts w:ascii="Times New Roman" w:hAnsi="Times New Roman"/>
          <w:sz w:val="24"/>
          <w:szCs w:val="24"/>
        </w:rPr>
        <w:t>Adisasmita, Rahardjo</w:t>
      </w:r>
      <w:r>
        <w:rPr>
          <w:rFonts w:ascii="Times New Roman" w:hAnsi="Times New Roman"/>
          <w:sz w:val="24"/>
          <w:szCs w:val="24"/>
        </w:rPr>
        <w:t xml:space="preserve"> (</w:t>
      </w:r>
      <w:r w:rsidRPr="00A876F9">
        <w:rPr>
          <w:rFonts w:ascii="Times New Roman" w:hAnsi="Times New Roman"/>
          <w:sz w:val="24"/>
          <w:szCs w:val="24"/>
        </w:rPr>
        <w:t>2011</w:t>
      </w:r>
      <w:r>
        <w:rPr>
          <w:rFonts w:ascii="Times New Roman" w:hAnsi="Times New Roman"/>
          <w:sz w:val="24"/>
          <w:szCs w:val="24"/>
        </w:rPr>
        <w:t>)</w:t>
      </w:r>
      <w:r w:rsidRPr="00A876F9">
        <w:rPr>
          <w:rFonts w:ascii="Times New Roman" w:hAnsi="Times New Roman"/>
          <w:sz w:val="24"/>
          <w:szCs w:val="24"/>
        </w:rPr>
        <w:t xml:space="preserve"> </w:t>
      </w:r>
      <w:r w:rsidRPr="00A876F9">
        <w:rPr>
          <w:rFonts w:ascii="Times New Roman" w:hAnsi="Times New Roman"/>
          <w:i/>
          <w:sz w:val="24"/>
          <w:szCs w:val="24"/>
        </w:rPr>
        <w:t>Pengelolaan Pendapatan dan Anggaran Daerah</w:t>
      </w:r>
      <w:r w:rsidRPr="00A876F9">
        <w:rPr>
          <w:rFonts w:ascii="Times New Roman" w:hAnsi="Times New Roman"/>
          <w:sz w:val="24"/>
          <w:szCs w:val="24"/>
        </w:rPr>
        <w:t xml:space="preserve">. </w:t>
      </w:r>
      <w:r w:rsidRPr="0064746A">
        <w:rPr>
          <w:rFonts w:ascii="Times New Roman" w:hAnsi="Times New Roman"/>
          <w:sz w:val="24"/>
          <w:szCs w:val="24"/>
        </w:rPr>
        <w:t>Graha Ilmu</w:t>
      </w:r>
      <w:r>
        <w:rPr>
          <w:rFonts w:ascii="Times New Roman" w:hAnsi="Times New Roman"/>
          <w:sz w:val="24"/>
          <w:szCs w:val="24"/>
        </w:rPr>
        <w:t xml:space="preserve">: </w:t>
      </w:r>
      <w:r w:rsidRPr="0064746A">
        <w:rPr>
          <w:rFonts w:ascii="Times New Roman" w:hAnsi="Times New Roman"/>
          <w:sz w:val="24"/>
          <w:szCs w:val="24"/>
        </w:rPr>
        <w:t>Yogyakarta.</w:t>
      </w:r>
    </w:p>
    <w:p w:rsidR="00003ABB" w:rsidRPr="0064746A" w:rsidRDefault="00003ABB" w:rsidP="00003ABB">
      <w:pPr>
        <w:pStyle w:val="NoSpacing"/>
        <w:ind w:left="720" w:hanging="720"/>
        <w:jc w:val="both"/>
        <w:rPr>
          <w:rFonts w:ascii="Times New Roman" w:hAnsi="Times New Roman"/>
          <w:sz w:val="24"/>
          <w:szCs w:val="24"/>
        </w:rPr>
      </w:pPr>
      <w:r w:rsidRPr="0064746A">
        <w:rPr>
          <w:rFonts w:ascii="Times New Roman" w:hAnsi="Times New Roman"/>
          <w:sz w:val="24"/>
          <w:szCs w:val="24"/>
        </w:rPr>
        <w:t xml:space="preserve"> </w:t>
      </w:r>
    </w:p>
    <w:p w:rsidR="00C0371E" w:rsidRDefault="00B26397" w:rsidP="00C0371E">
      <w:pPr>
        <w:pStyle w:val="NoSpacing"/>
        <w:ind w:left="720" w:hanging="720"/>
        <w:jc w:val="both"/>
        <w:rPr>
          <w:rFonts w:ascii="Times New Roman" w:hAnsi="Times New Roman"/>
          <w:sz w:val="24"/>
          <w:szCs w:val="24"/>
          <w:lang w:val="sv-SE"/>
        </w:rPr>
      </w:pPr>
      <w:r w:rsidRPr="0064746A">
        <w:rPr>
          <w:rFonts w:ascii="Times New Roman" w:hAnsi="Times New Roman"/>
          <w:sz w:val="24"/>
          <w:szCs w:val="24"/>
          <w:lang w:val="sv-SE"/>
        </w:rPr>
        <w:t>Halim, Abdul</w:t>
      </w:r>
      <w:r>
        <w:rPr>
          <w:rFonts w:ascii="Times New Roman" w:hAnsi="Times New Roman"/>
          <w:sz w:val="24"/>
          <w:szCs w:val="24"/>
          <w:lang w:val="sv-SE"/>
        </w:rPr>
        <w:t xml:space="preserve"> (</w:t>
      </w:r>
      <w:r w:rsidRPr="0064746A">
        <w:rPr>
          <w:rFonts w:ascii="Times New Roman" w:hAnsi="Times New Roman"/>
          <w:sz w:val="24"/>
          <w:szCs w:val="24"/>
          <w:lang w:val="sv-SE"/>
        </w:rPr>
        <w:t>2007</w:t>
      </w:r>
      <w:r>
        <w:rPr>
          <w:rFonts w:ascii="Times New Roman" w:hAnsi="Times New Roman"/>
          <w:sz w:val="24"/>
          <w:szCs w:val="24"/>
          <w:lang w:val="sv-SE"/>
        </w:rPr>
        <w:t xml:space="preserve">) </w:t>
      </w:r>
      <w:r w:rsidRPr="0064746A">
        <w:rPr>
          <w:rFonts w:ascii="Times New Roman" w:hAnsi="Times New Roman"/>
          <w:i/>
          <w:sz w:val="24"/>
          <w:szCs w:val="24"/>
          <w:lang w:val="sv-SE"/>
        </w:rPr>
        <w:t>Akuntansi sektor publik Akuntansi Keuangan Daerah</w:t>
      </w:r>
      <w:r w:rsidRPr="0064746A">
        <w:rPr>
          <w:rFonts w:ascii="Times New Roman" w:hAnsi="Times New Roman"/>
          <w:sz w:val="24"/>
          <w:szCs w:val="24"/>
          <w:lang w:val="sv-SE"/>
        </w:rPr>
        <w:t>. S</w:t>
      </w:r>
      <w:r>
        <w:rPr>
          <w:rFonts w:ascii="Times New Roman" w:hAnsi="Times New Roman"/>
          <w:sz w:val="24"/>
          <w:szCs w:val="24"/>
          <w:lang w:val="sv-SE"/>
        </w:rPr>
        <w:t>a</w:t>
      </w:r>
      <w:r w:rsidRPr="0064746A">
        <w:rPr>
          <w:rFonts w:ascii="Times New Roman" w:hAnsi="Times New Roman"/>
          <w:sz w:val="24"/>
          <w:szCs w:val="24"/>
          <w:lang w:val="sv-SE"/>
        </w:rPr>
        <w:t>lemba Empat</w:t>
      </w:r>
      <w:r>
        <w:rPr>
          <w:rFonts w:ascii="Times New Roman" w:hAnsi="Times New Roman"/>
          <w:sz w:val="24"/>
          <w:szCs w:val="24"/>
          <w:lang w:val="sv-SE"/>
        </w:rPr>
        <w:t xml:space="preserve">: </w:t>
      </w:r>
      <w:r w:rsidRPr="0064746A">
        <w:rPr>
          <w:rFonts w:ascii="Times New Roman" w:hAnsi="Times New Roman"/>
          <w:sz w:val="24"/>
          <w:szCs w:val="24"/>
          <w:lang w:val="sv-SE"/>
        </w:rPr>
        <w:t>Jakarta.</w:t>
      </w:r>
    </w:p>
    <w:p w:rsidR="00795E85" w:rsidRDefault="00795E85" w:rsidP="00C0371E">
      <w:pPr>
        <w:pStyle w:val="NoSpacing"/>
        <w:ind w:left="720" w:hanging="720"/>
        <w:jc w:val="both"/>
        <w:rPr>
          <w:rFonts w:ascii="Times New Roman" w:hAnsi="Times New Roman"/>
          <w:sz w:val="24"/>
          <w:szCs w:val="24"/>
          <w:lang w:val="sv-SE"/>
        </w:rPr>
      </w:pPr>
    </w:p>
    <w:p w:rsidR="00C0371E" w:rsidRDefault="00C0371E" w:rsidP="00C0371E">
      <w:pPr>
        <w:pStyle w:val="NoSpacing"/>
        <w:ind w:left="720" w:hanging="720"/>
        <w:jc w:val="both"/>
        <w:rPr>
          <w:rFonts w:ascii="Times New Roman" w:hAnsi="Times New Roman"/>
          <w:sz w:val="24"/>
          <w:szCs w:val="24"/>
          <w:lang w:val="sv-SE"/>
        </w:rPr>
      </w:pPr>
      <w:r w:rsidRPr="0064746A">
        <w:rPr>
          <w:rFonts w:ascii="Times New Roman" w:hAnsi="Times New Roman"/>
          <w:sz w:val="24"/>
          <w:szCs w:val="24"/>
        </w:rPr>
        <w:t>Indrayeni</w:t>
      </w:r>
      <w:r>
        <w:rPr>
          <w:rFonts w:ascii="Times New Roman" w:hAnsi="Times New Roman"/>
          <w:sz w:val="24"/>
          <w:szCs w:val="24"/>
        </w:rPr>
        <w:t xml:space="preserve"> (</w:t>
      </w:r>
      <w:r w:rsidRPr="0064746A">
        <w:rPr>
          <w:rFonts w:ascii="Times New Roman" w:hAnsi="Times New Roman"/>
          <w:sz w:val="24"/>
          <w:szCs w:val="24"/>
        </w:rPr>
        <w:t>2013</w:t>
      </w:r>
      <w:r>
        <w:rPr>
          <w:rFonts w:ascii="Times New Roman" w:hAnsi="Times New Roman"/>
          <w:sz w:val="24"/>
          <w:szCs w:val="24"/>
        </w:rPr>
        <w:t>)</w:t>
      </w:r>
      <w:r w:rsidRPr="0064746A">
        <w:rPr>
          <w:rFonts w:ascii="Times New Roman" w:hAnsi="Times New Roman"/>
          <w:sz w:val="24"/>
          <w:szCs w:val="24"/>
        </w:rPr>
        <w:t xml:space="preserve"> </w:t>
      </w:r>
      <w:r w:rsidRPr="0064746A">
        <w:rPr>
          <w:rFonts w:ascii="Times New Roman" w:hAnsi="Times New Roman"/>
          <w:i/>
          <w:sz w:val="24"/>
          <w:szCs w:val="24"/>
        </w:rPr>
        <w:t>Teori, Konsep, dan Aplikasi Akuntansi Sektor Publik</w:t>
      </w:r>
      <w:r w:rsidRPr="0064746A">
        <w:rPr>
          <w:rFonts w:ascii="Times New Roman" w:hAnsi="Times New Roman"/>
          <w:sz w:val="24"/>
          <w:szCs w:val="24"/>
        </w:rPr>
        <w:t xml:space="preserve">. </w:t>
      </w:r>
      <w:r w:rsidRPr="0064746A">
        <w:rPr>
          <w:rFonts w:ascii="Times New Roman" w:hAnsi="Times New Roman"/>
          <w:sz w:val="24"/>
          <w:szCs w:val="24"/>
          <w:lang w:val="sv-SE"/>
        </w:rPr>
        <w:t>S</w:t>
      </w:r>
      <w:r>
        <w:rPr>
          <w:rFonts w:ascii="Times New Roman" w:hAnsi="Times New Roman"/>
          <w:sz w:val="24"/>
          <w:szCs w:val="24"/>
          <w:lang w:val="sv-SE"/>
        </w:rPr>
        <w:t>a</w:t>
      </w:r>
      <w:r w:rsidRPr="0064746A">
        <w:rPr>
          <w:rFonts w:ascii="Times New Roman" w:hAnsi="Times New Roman"/>
          <w:sz w:val="24"/>
          <w:szCs w:val="24"/>
          <w:lang w:val="sv-SE"/>
        </w:rPr>
        <w:t>lemba Empat</w:t>
      </w:r>
      <w:r>
        <w:rPr>
          <w:rFonts w:ascii="Times New Roman" w:hAnsi="Times New Roman"/>
          <w:sz w:val="24"/>
          <w:szCs w:val="24"/>
          <w:lang w:val="sv-SE"/>
        </w:rPr>
        <w:t xml:space="preserve">: </w:t>
      </w:r>
      <w:r w:rsidRPr="0064746A">
        <w:rPr>
          <w:rFonts w:ascii="Times New Roman" w:hAnsi="Times New Roman"/>
          <w:sz w:val="24"/>
          <w:szCs w:val="24"/>
          <w:lang w:val="sv-SE"/>
        </w:rPr>
        <w:t>Jakarta.</w:t>
      </w:r>
    </w:p>
    <w:p w:rsidR="00795E85" w:rsidRDefault="00795E85" w:rsidP="00956748">
      <w:pPr>
        <w:ind w:left="720" w:hanging="720"/>
        <w:rPr>
          <w:szCs w:val="24"/>
        </w:rPr>
      </w:pPr>
    </w:p>
    <w:p w:rsidR="00956748" w:rsidRPr="0064746A" w:rsidRDefault="00956748" w:rsidP="00956748">
      <w:pPr>
        <w:ind w:left="720" w:hanging="720"/>
        <w:rPr>
          <w:szCs w:val="24"/>
        </w:rPr>
      </w:pPr>
      <w:r w:rsidRPr="0064746A">
        <w:rPr>
          <w:szCs w:val="24"/>
        </w:rPr>
        <w:t>Lee, JR, Robert D., Johnson, Ronald W. dan Joyce, Philip G</w:t>
      </w:r>
      <w:r>
        <w:rPr>
          <w:szCs w:val="24"/>
        </w:rPr>
        <w:t xml:space="preserve"> (</w:t>
      </w:r>
      <w:r w:rsidRPr="0064746A">
        <w:rPr>
          <w:szCs w:val="24"/>
        </w:rPr>
        <w:t>2013</w:t>
      </w:r>
      <w:r>
        <w:rPr>
          <w:szCs w:val="24"/>
        </w:rPr>
        <w:t xml:space="preserve">) </w:t>
      </w:r>
      <w:r w:rsidRPr="0064746A">
        <w:rPr>
          <w:i/>
          <w:szCs w:val="24"/>
        </w:rPr>
        <w:t>Public Budgeting System.</w:t>
      </w:r>
      <w:r w:rsidRPr="0064746A">
        <w:rPr>
          <w:szCs w:val="24"/>
        </w:rPr>
        <w:t xml:space="preserve"> Jones &amp; Bartlett Learning</w:t>
      </w:r>
      <w:r>
        <w:rPr>
          <w:szCs w:val="24"/>
        </w:rPr>
        <w:t>:</w:t>
      </w:r>
      <w:r w:rsidRPr="0064746A">
        <w:rPr>
          <w:szCs w:val="24"/>
        </w:rPr>
        <w:t xml:space="preserve"> Burlington MA.</w:t>
      </w:r>
    </w:p>
    <w:p w:rsidR="00795E85" w:rsidRDefault="00795E85" w:rsidP="00B26397">
      <w:pPr>
        <w:ind w:left="720" w:hanging="720"/>
        <w:rPr>
          <w:szCs w:val="24"/>
        </w:rPr>
      </w:pPr>
    </w:p>
    <w:p w:rsidR="002B081C" w:rsidRDefault="002B081C" w:rsidP="00B26397">
      <w:pPr>
        <w:ind w:left="720" w:hanging="720"/>
        <w:rPr>
          <w:szCs w:val="24"/>
        </w:rPr>
      </w:pPr>
      <w:r w:rsidRPr="0064746A">
        <w:rPr>
          <w:szCs w:val="24"/>
        </w:rPr>
        <w:t>Mardiasmo</w:t>
      </w:r>
      <w:r>
        <w:rPr>
          <w:szCs w:val="24"/>
        </w:rPr>
        <w:t xml:space="preserve"> (</w:t>
      </w:r>
      <w:r w:rsidRPr="0064746A">
        <w:rPr>
          <w:szCs w:val="24"/>
        </w:rPr>
        <w:t>200</w:t>
      </w:r>
      <w:r>
        <w:rPr>
          <w:szCs w:val="24"/>
        </w:rPr>
        <w:t xml:space="preserve">2) </w:t>
      </w:r>
      <w:r>
        <w:rPr>
          <w:i/>
          <w:szCs w:val="24"/>
        </w:rPr>
        <w:t>Otonomi dan Manajemen Keuangan Daerah</w:t>
      </w:r>
      <w:r w:rsidRPr="0064746A">
        <w:rPr>
          <w:i/>
          <w:szCs w:val="24"/>
        </w:rPr>
        <w:t>.</w:t>
      </w:r>
      <w:r w:rsidRPr="0064746A">
        <w:rPr>
          <w:szCs w:val="24"/>
        </w:rPr>
        <w:t xml:space="preserve"> ANDI</w:t>
      </w:r>
      <w:r>
        <w:rPr>
          <w:szCs w:val="24"/>
        </w:rPr>
        <w:t xml:space="preserve">: </w:t>
      </w:r>
      <w:r w:rsidRPr="0064746A">
        <w:rPr>
          <w:szCs w:val="24"/>
        </w:rPr>
        <w:t>Yogyakarta</w:t>
      </w:r>
      <w:r>
        <w:rPr>
          <w:szCs w:val="24"/>
        </w:rPr>
        <w:t>.</w:t>
      </w:r>
      <w:r w:rsidRPr="0064746A">
        <w:rPr>
          <w:szCs w:val="24"/>
        </w:rPr>
        <w:t xml:space="preserve"> </w:t>
      </w:r>
    </w:p>
    <w:p w:rsidR="00795E85" w:rsidRDefault="00795E85" w:rsidP="00B26397">
      <w:pPr>
        <w:ind w:left="720" w:hanging="720"/>
        <w:rPr>
          <w:szCs w:val="24"/>
        </w:rPr>
      </w:pPr>
    </w:p>
    <w:p w:rsidR="00B26397" w:rsidRDefault="00B26397" w:rsidP="00B26397">
      <w:pPr>
        <w:ind w:left="720" w:hanging="720"/>
        <w:rPr>
          <w:szCs w:val="24"/>
        </w:rPr>
      </w:pPr>
      <w:r w:rsidRPr="0064746A">
        <w:rPr>
          <w:szCs w:val="24"/>
        </w:rPr>
        <w:t>Mardiasmo</w:t>
      </w:r>
      <w:r>
        <w:rPr>
          <w:szCs w:val="24"/>
        </w:rPr>
        <w:t xml:space="preserve"> (</w:t>
      </w:r>
      <w:r w:rsidRPr="0064746A">
        <w:rPr>
          <w:szCs w:val="24"/>
        </w:rPr>
        <w:t>2009</w:t>
      </w:r>
      <w:r>
        <w:rPr>
          <w:szCs w:val="24"/>
        </w:rPr>
        <w:t xml:space="preserve">) </w:t>
      </w:r>
      <w:r w:rsidRPr="0064746A">
        <w:rPr>
          <w:i/>
          <w:szCs w:val="24"/>
        </w:rPr>
        <w:t>Akuntansi Sektor Publik.</w:t>
      </w:r>
      <w:r w:rsidRPr="0064746A">
        <w:rPr>
          <w:szCs w:val="24"/>
        </w:rPr>
        <w:t xml:space="preserve"> ANDI</w:t>
      </w:r>
      <w:r>
        <w:rPr>
          <w:szCs w:val="24"/>
        </w:rPr>
        <w:t xml:space="preserve">: </w:t>
      </w:r>
      <w:r w:rsidRPr="0064746A">
        <w:rPr>
          <w:szCs w:val="24"/>
        </w:rPr>
        <w:t>Yogyakarta.</w:t>
      </w:r>
    </w:p>
    <w:p w:rsidR="00795E85" w:rsidRDefault="00795E85" w:rsidP="002B081C">
      <w:pPr>
        <w:ind w:left="720" w:hanging="720"/>
        <w:rPr>
          <w:szCs w:val="24"/>
        </w:rPr>
      </w:pPr>
    </w:p>
    <w:p w:rsidR="002B081C" w:rsidRPr="0064746A" w:rsidRDefault="002B081C" w:rsidP="002B081C">
      <w:pPr>
        <w:ind w:left="720" w:hanging="720"/>
        <w:rPr>
          <w:szCs w:val="24"/>
        </w:rPr>
      </w:pPr>
      <w:r>
        <w:rPr>
          <w:szCs w:val="24"/>
        </w:rPr>
        <w:t xml:space="preserve">Mahmudi (2010) </w:t>
      </w:r>
      <w:r w:rsidRPr="002B081C">
        <w:rPr>
          <w:i/>
          <w:szCs w:val="24"/>
        </w:rPr>
        <w:t>Manajemen Keuangan Daerah</w:t>
      </w:r>
      <w:r w:rsidRPr="0064746A">
        <w:rPr>
          <w:szCs w:val="24"/>
        </w:rPr>
        <w:t>.</w:t>
      </w:r>
      <w:r>
        <w:rPr>
          <w:szCs w:val="24"/>
        </w:rPr>
        <w:t xml:space="preserve"> Erlangga: Jakarta. </w:t>
      </w:r>
    </w:p>
    <w:p w:rsidR="00795E85" w:rsidRDefault="00795E85" w:rsidP="000B0425">
      <w:pPr>
        <w:pStyle w:val="FootnoteText"/>
        <w:ind w:left="851" w:hanging="851"/>
        <w:jc w:val="both"/>
        <w:rPr>
          <w:rFonts w:ascii="Times New Roman" w:hAnsi="Times New Roman" w:cs="Times New Roman"/>
          <w:szCs w:val="24"/>
        </w:rPr>
      </w:pPr>
    </w:p>
    <w:p w:rsidR="000B0425" w:rsidRDefault="00B26397" w:rsidP="000B0425">
      <w:pPr>
        <w:pStyle w:val="FootnoteText"/>
        <w:ind w:left="851" w:hanging="851"/>
        <w:jc w:val="both"/>
        <w:rPr>
          <w:rFonts w:ascii="Times New Roman" w:hAnsi="Times New Roman" w:cs="Times New Roman"/>
          <w:szCs w:val="24"/>
        </w:rPr>
      </w:pPr>
      <w:r w:rsidRPr="00B26397">
        <w:rPr>
          <w:rFonts w:ascii="Times New Roman" w:hAnsi="Times New Roman" w:cs="Times New Roman"/>
          <w:szCs w:val="24"/>
        </w:rPr>
        <w:t>Prawoto, Agus</w:t>
      </w:r>
      <w:r>
        <w:rPr>
          <w:rFonts w:ascii="Times New Roman" w:hAnsi="Times New Roman" w:cs="Times New Roman"/>
          <w:szCs w:val="24"/>
        </w:rPr>
        <w:t xml:space="preserve"> (</w:t>
      </w:r>
      <w:r w:rsidRPr="00B26397">
        <w:rPr>
          <w:rFonts w:ascii="Times New Roman" w:hAnsi="Times New Roman" w:cs="Times New Roman"/>
          <w:szCs w:val="24"/>
        </w:rPr>
        <w:t>2011</w:t>
      </w:r>
      <w:r>
        <w:rPr>
          <w:rFonts w:ascii="Times New Roman" w:hAnsi="Times New Roman" w:cs="Times New Roman"/>
          <w:szCs w:val="24"/>
        </w:rPr>
        <w:t xml:space="preserve">) </w:t>
      </w:r>
      <w:r w:rsidRPr="00B26397">
        <w:rPr>
          <w:rFonts w:ascii="Times New Roman" w:hAnsi="Times New Roman" w:cs="Times New Roman"/>
          <w:i/>
          <w:szCs w:val="24"/>
        </w:rPr>
        <w:t>Pengantar Keuangan Publik</w:t>
      </w:r>
      <w:r w:rsidRPr="00B26397">
        <w:rPr>
          <w:rFonts w:ascii="Times New Roman" w:hAnsi="Times New Roman" w:cs="Times New Roman"/>
          <w:szCs w:val="24"/>
        </w:rPr>
        <w:t>. BPFE</w:t>
      </w:r>
      <w:r>
        <w:rPr>
          <w:rFonts w:ascii="Times New Roman" w:hAnsi="Times New Roman" w:cs="Times New Roman"/>
          <w:szCs w:val="24"/>
        </w:rPr>
        <w:t>:</w:t>
      </w:r>
      <w:r w:rsidRPr="00B26397">
        <w:rPr>
          <w:rFonts w:ascii="Times New Roman" w:hAnsi="Times New Roman" w:cs="Times New Roman"/>
          <w:szCs w:val="24"/>
        </w:rPr>
        <w:t xml:space="preserve"> Yogyakarta.</w:t>
      </w:r>
    </w:p>
    <w:p w:rsidR="00795E85" w:rsidRDefault="00795E85" w:rsidP="00A86546">
      <w:pPr>
        <w:pStyle w:val="FootnoteText"/>
        <w:ind w:left="851" w:hanging="851"/>
        <w:jc w:val="both"/>
        <w:rPr>
          <w:rFonts w:ascii="Times New Roman" w:hAnsi="Times New Roman" w:cs="Times New Roman"/>
          <w:szCs w:val="24"/>
        </w:rPr>
      </w:pPr>
    </w:p>
    <w:p w:rsidR="00730444" w:rsidRDefault="000B0425" w:rsidP="00A86546">
      <w:pPr>
        <w:pStyle w:val="FootnoteText"/>
        <w:ind w:left="851" w:hanging="851"/>
        <w:jc w:val="both"/>
      </w:pPr>
      <w:r w:rsidRPr="000B0425">
        <w:rPr>
          <w:rFonts w:ascii="Times New Roman" w:hAnsi="Times New Roman" w:cs="Times New Roman"/>
          <w:szCs w:val="24"/>
        </w:rPr>
        <w:t xml:space="preserve">Schick, Allen. (1998). </w:t>
      </w:r>
      <w:r w:rsidRPr="000B0425">
        <w:rPr>
          <w:rFonts w:ascii="Times New Roman" w:hAnsi="Times New Roman" w:cs="Times New Roman"/>
          <w:i/>
          <w:iCs/>
          <w:szCs w:val="24"/>
        </w:rPr>
        <w:t>Contemporary Approach to Public Expenditure Management</w:t>
      </w:r>
      <w:r w:rsidRPr="000B0425">
        <w:rPr>
          <w:rFonts w:ascii="Times New Roman" w:hAnsi="Times New Roman" w:cs="Times New Roman"/>
          <w:szCs w:val="24"/>
        </w:rPr>
        <w:t>. World Bank Institute</w:t>
      </w:r>
      <w:r>
        <w:rPr>
          <w:rFonts w:ascii="Times New Roman" w:hAnsi="Times New Roman" w:cs="Times New Roman"/>
          <w:szCs w:val="24"/>
        </w:rPr>
        <w:t xml:space="preserve">: </w:t>
      </w:r>
      <w:r w:rsidRPr="000B0425">
        <w:rPr>
          <w:rFonts w:ascii="Times New Roman" w:hAnsi="Times New Roman" w:cs="Times New Roman"/>
          <w:szCs w:val="24"/>
        </w:rPr>
        <w:t>Washington, DC</w:t>
      </w:r>
      <w:r>
        <w:rPr>
          <w:rFonts w:ascii="Times New Roman" w:hAnsi="Times New Roman" w:cs="Times New Roman"/>
          <w:szCs w:val="24"/>
        </w:rPr>
        <w:t>.</w:t>
      </w:r>
    </w:p>
    <w:sectPr w:rsidR="00730444" w:rsidSect="0073044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9D" w:rsidRDefault="006C329D" w:rsidP="00C67408">
      <w:r>
        <w:separator/>
      </w:r>
    </w:p>
  </w:endnote>
  <w:endnote w:type="continuationSeparator" w:id="0">
    <w:p w:rsidR="006C329D" w:rsidRDefault="006C329D" w:rsidP="00C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B2" w:rsidRDefault="001450B2"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PAHMI 9</w:t>
    </w:r>
    <w:r>
      <w:rPr>
        <w:rFonts w:asciiTheme="majorHAnsi" w:hAnsiTheme="majorHAnsi"/>
        <w:vertAlign w:val="superscript"/>
      </w:rPr>
      <w:t xml:space="preserve">th </w:t>
    </w:r>
    <w:r>
      <w:rPr>
        <w:rFonts w:asciiTheme="majorHAnsi" w:hAnsiTheme="majorHAnsi"/>
      </w:rPr>
      <w:t>International Conference</w:t>
    </w:r>
  </w:p>
  <w:p w:rsidR="001450B2" w:rsidRDefault="001450B2"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Yogyakarta State University, 15 -16 September 2015</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2D0B61" w:rsidRPr="002D0B61">
      <w:rPr>
        <w:rFonts w:asciiTheme="majorHAnsi" w:hAnsiTheme="majorHAnsi"/>
        <w:noProof/>
      </w:rPr>
      <w:t>1</w:t>
    </w:r>
    <w:r>
      <w:rPr>
        <w:rFonts w:asciiTheme="majorHAnsi" w:hAnsiTheme="majorHAnsi"/>
        <w:noProof/>
      </w:rPr>
      <w:fldChar w:fldCharType="end"/>
    </w:r>
  </w:p>
  <w:p w:rsidR="001450B2" w:rsidRDefault="001450B2" w:rsidP="00C6740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9D" w:rsidRDefault="006C329D" w:rsidP="00C67408">
      <w:r>
        <w:separator/>
      </w:r>
    </w:p>
  </w:footnote>
  <w:footnote w:type="continuationSeparator" w:id="0">
    <w:p w:rsidR="006C329D" w:rsidRDefault="006C329D" w:rsidP="00C67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CA8"/>
    <w:multiLevelType w:val="hybridMultilevel"/>
    <w:tmpl w:val="1E3E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136D8"/>
    <w:multiLevelType w:val="hybridMultilevel"/>
    <w:tmpl w:val="B07C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01A2B"/>
    <w:multiLevelType w:val="hybridMultilevel"/>
    <w:tmpl w:val="C980C9D8"/>
    <w:lvl w:ilvl="0" w:tplc="9A706146">
      <w:start w:val="1"/>
      <w:numFmt w:val="decimal"/>
      <w:lvlText w:val="%1."/>
      <w:lvlJc w:val="left"/>
      <w:pPr>
        <w:ind w:left="1080" w:hanging="360"/>
      </w:pPr>
      <w:rPr>
        <w:b w:val="0"/>
      </w:rPr>
    </w:lvl>
    <w:lvl w:ilvl="1" w:tplc="0BA632F6">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5C276B"/>
    <w:multiLevelType w:val="hybridMultilevel"/>
    <w:tmpl w:val="4A8082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E84098E"/>
    <w:multiLevelType w:val="hybridMultilevel"/>
    <w:tmpl w:val="C12A2476"/>
    <w:lvl w:ilvl="0" w:tplc="944CB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702F26"/>
    <w:multiLevelType w:val="hybridMultilevel"/>
    <w:tmpl w:val="1E3E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86A4A"/>
    <w:multiLevelType w:val="hybridMultilevel"/>
    <w:tmpl w:val="DBD89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8D"/>
    <w:rsid w:val="00000D68"/>
    <w:rsid w:val="00001286"/>
    <w:rsid w:val="00002461"/>
    <w:rsid w:val="00002525"/>
    <w:rsid w:val="00002A99"/>
    <w:rsid w:val="000030A9"/>
    <w:rsid w:val="0000376A"/>
    <w:rsid w:val="00003ABB"/>
    <w:rsid w:val="00003D3D"/>
    <w:rsid w:val="00003DD9"/>
    <w:rsid w:val="00004157"/>
    <w:rsid w:val="00004704"/>
    <w:rsid w:val="0000534A"/>
    <w:rsid w:val="0000568D"/>
    <w:rsid w:val="00006153"/>
    <w:rsid w:val="000065AC"/>
    <w:rsid w:val="00006D68"/>
    <w:rsid w:val="000074F7"/>
    <w:rsid w:val="000077FA"/>
    <w:rsid w:val="000102F2"/>
    <w:rsid w:val="0001259A"/>
    <w:rsid w:val="00012986"/>
    <w:rsid w:val="000129D4"/>
    <w:rsid w:val="00012AD3"/>
    <w:rsid w:val="00013353"/>
    <w:rsid w:val="00013D49"/>
    <w:rsid w:val="00014A3D"/>
    <w:rsid w:val="0001745B"/>
    <w:rsid w:val="000175C6"/>
    <w:rsid w:val="00017FD7"/>
    <w:rsid w:val="000200B6"/>
    <w:rsid w:val="000206F2"/>
    <w:rsid w:val="0002111C"/>
    <w:rsid w:val="00021972"/>
    <w:rsid w:val="00023324"/>
    <w:rsid w:val="00023846"/>
    <w:rsid w:val="00024D17"/>
    <w:rsid w:val="00025C99"/>
    <w:rsid w:val="00030F1B"/>
    <w:rsid w:val="000311B7"/>
    <w:rsid w:val="00037E12"/>
    <w:rsid w:val="0004307D"/>
    <w:rsid w:val="00043C04"/>
    <w:rsid w:val="000470F1"/>
    <w:rsid w:val="000512A1"/>
    <w:rsid w:val="00052EEB"/>
    <w:rsid w:val="00053063"/>
    <w:rsid w:val="000534FB"/>
    <w:rsid w:val="00055226"/>
    <w:rsid w:val="00055BB7"/>
    <w:rsid w:val="00057409"/>
    <w:rsid w:val="00057D52"/>
    <w:rsid w:val="00060B8F"/>
    <w:rsid w:val="00061AD4"/>
    <w:rsid w:val="00063476"/>
    <w:rsid w:val="00063BF0"/>
    <w:rsid w:val="00065397"/>
    <w:rsid w:val="00066F13"/>
    <w:rsid w:val="0006756B"/>
    <w:rsid w:val="00067A7A"/>
    <w:rsid w:val="00067BB6"/>
    <w:rsid w:val="00071A33"/>
    <w:rsid w:val="00071E82"/>
    <w:rsid w:val="00071F8A"/>
    <w:rsid w:val="00072857"/>
    <w:rsid w:val="0007444B"/>
    <w:rsid w:val="00074FB3"/>
    <w:rsid w:val="00075F0D"/>
    <w:rsid w:val="00076741"/>
    <w:rsid w:val="00077A44"/>
    <w:rsid w:val="00081D92"/>
    <w:rsid w:val="00082DBB"/>
    <w:rsid w:val="00083249"/>
    <w:rsid w:val="00083325"/>
    <w:rsid w:val="00085B83"/>
    <w:rsid w:val="00085C08"/>
    <w:rsid w:val="00086AE1"/>
    <w:rsid w:val="0008769D"/>
    <w:rsid w:val="0009057B"/>
    <w:rsid w:val="00090D6B"/>
    <w:rsid w:val="00091263"/>
    <w:rsid w:val="00091AAE"/>
    <w:rsid w:val="00091E11"/>
    <w:rsid w:val="000929B0"/>
    <w:rsid w:val="00093B8E"/>
    <w:rsid w:val="00094062"/>
    <w:rsid w:val="0009460E"/>
    <w:rsid w:val="0009603E"/>
    <w:rsid w:val="00097E96"/>
    <w:rsid w:val="000A120D"/>
    <w:rsid w:val="000A1D30"/>
    <w:rsid w:val="000A2C85"/>
    <w:rsid w:val="000A2CC5"/>
    <w:rsid w:val="000A5125"/>
    <w:rsid w:val="000A6AB8"/>
    <w:rsid w:val="000A773A"/>
    <w:rsid w:val="000A7A7D"/>
    <w:rsid w:val="000A7CFB"/>
    <w:rsid w:val="000B0425"/>
    <w:rsid w:val="000B049A"/>
    <w:rsid w:val="000B0C9D"/>
    <w:rsid w:val="000B0D1E"/>
    <w:rsid w:val="000B1250"/>
    <w:rsid w:val="000B126C"/>
    <w:rsid w:val="000B150C"/>
    <w:rsid w:val="000B5A96"/>
    <w:rsid w:val="000B5B99"/>
    <w:rsid w:val="000B600D"/>
    <w:rsid w:val="000B63ED"/>
    <w:rsid w:val="000B694F"/>
    <w:rsid w:val="000C06AD"/>
    <w:rsid w:val="000C1F6A"/>
    <w:rsid w:val="000C2706"/>
    <w:rsid w:val="000C379A"/>
    <w:rsid w:val="000C4DAC"/>
    <w:rsid w:val="000C6678"/>
    <w:rsid w:val="000C739C"/>
    <w:rsid w:val="000C7F82"/>
    <w:rsid w:val="000D0FB6"/>
    <w:rsid w:val="000D1560"/>
    <w:rsid w:val="000D36C3"/>
    <w:rsid w:val="000D565A"/>
    <w:rsid w:val="000D6F86"/>
    <w:rsid w:val="000E013C"/>
    <w:rsid w:val="000E03D7"/>
    <w:rsid w:val="000E239D"/>
    <w:rsid w:val="000E2867"/>
    <w:rsid w:val="000E2A76"/>
    <w:rsid w:val="000E30E0"/>
    <w:rsid w:val="000E339A"/>
    <w:rsid w:val="000E3F25"/>
    <w:rsid w:val="000E3F65"/>
    <w:rsid w:val="000E5220"/>
    <w:rsid w:val="000E75DE"/>
    <w:rsid w:val="000F00BF"/>
    <w:rsid w:val="000F091C"/>
    <w:rsid w:val="000F09DE"/>
    <w:rsid w:val="000F2B08"/>
    <w:rsid w:val="000F3820"/>
    <w:rsid w:val="000F39A5"/>
    <w:rsid w:val="000F46EC"/>
    <w:rsid w:val="000F6D03"/>
    <w:rsid w:val="001001EB"/>
    <w:rsid w:val="00100588"/>
    <w:rsid w:val="00100CCC"/>
    <w:rsid w:val="001013CE"/>
    <w:rsid w:val="00103E29"/>
    <w:rsid w:val="00105770"/>
    <w:rsid w:val="00105DE7"/>
    <w:rsid w:val="0010756A"/>
    <w:rsid w:val="0010761B"/>
    <w:rsid w:val="00110736"/>
    <w:rsid w:val="0011152F"/>
    <w:rsid w:val="001121B0"/>
    <w:rsid w:val="001123F9"/>
    <w:rsid w:val="00112995"/>
    <w:rsid w:val="0011341E"/>
    <w:rsid w:val="00114347"/>
    <w:rsid w:val="001144F0"/>
    <w:rsid w:val="001148B5"/>
    <w:rsid w:val="001157BE"/>
    <w:rsid w:val="00116683"/>
    <w:rsid w:val="001172B4"/>
    <w:rsid w:val="001173A2"/>
    <w:rsid w:val="00117CCB"/>
    <w:rsid w:val="00120E25"/>
    <w:rsid w:val="001234BE"/>
    <w:rsid w:val="00124CA2"/>
    <w:rsid w:val="00127618"/>
    <w:rsid w:val="00130755"/>
    <w:rsid w:val="00132502"/>
    <w:rsid w:val="00132585"/>
    <w:rsid w:val="00133808"/>
    <w:rsid w:val="00133876"/>
    <w:rsid w:val="0013616D"/>
    <w:rsid w:val="00140690"/>
    <w:rsid w:val="00140735"/>
    <w:rsid w:val="00140884"/>
    <w:rsid w:val="00140AAE"/>
    <w:rsid w:val="0014289D"/>
    <w:rsid w:val="00142AC8"/>
    <w:rsid w:val="001440BA"/>
    <w:rsid w:val="001441C4"/>
    <w:rsid w:val="0014444D"/>
    <w:rsid w:val="001450B2"/>
    <w:rsid w:val="00146411"/>
    <w:rsid w:val="00146441"/>
    <w:rsid w:val="001464F6"/>
    <w:rsid w:val="00147334"/>
    <w:rsid w:val="00147AE7"/>
    <w:rsid w:val="00147C31"/>
    <w:rsid w:val="001501EA"/>
    <w:rsid w:val="00150E0D"/>
    <w:rsid w:val="00150F96"/>
    <w:rsid w:val="001513A1"/>
    <w:rsid w:val="00151768"/>
    <w:rsid w:val="001522EA"/>
    <w:rsid w:val="00153D78"/>
    <w:rsid w:val="001553F4"/>
    <w:rsid w:val="00155BE0"/>
    <w:rsid w:val="0016123F"/>
    <w:rsid w:val="001625B9"/>
    <w:rsid w:val="00162CF5"/>
    <w:rsid w:val="00163B6C"/>
    <w:rsid w:val="00164163"/>
    <w:rsid w:val="0016468C"/>
    <w:rsid w:val="001652EC"/>
    <w:rsid w:val="0017140E"/>
    <w:rsid w:val="00171449"/>
    <w:rsid w:val="00171E9B"/>
    <w:rsid w:val="00172248"/>
    <w:rsid w:val="00172453"/>
    <w:rsid w:val="00172A83"/>
    <w:rsid w:val="00173BF6"/>
    <w:rsid w:val="0017527F"/>
    <w:rsid w:val="001766EF"/>
    <w:rsid w:val="001804AD"/>
    <w:rsid w:val="00180D47"/>
    <w:rsid w:val="00181A5E"/>
    <w:rsid w:val="00182622"/>
    <w:rsid w:val="00182738"/>
    <w:rsid w:val="00182E30"/>
    <w:rsid w:val="001839CC"/>
    <w:rsid w:val="00186AB8"/>
    <w:rsid w:val="00186D7A"/>
    <w:rsid w:val="00191E91"/>
    <w:rsid w:val="0019222C"/>
    <w:rsid w:val="00192ECD"/>
    <w:rsid w:val="001939EE"/>
    <w:rsid w:val="00194295"/>
    <w:rsid w:val="001945B9"/>
    <w:rsid w:val="0019492A"/>
    <w:rsid w:val="00194CDB"/>
    <w:rsid w:val="00194ED8"/>
    <w:rsid w:val="001956BC"/>
    <w:rsid w:val="00195BAC"/>
    <w:rsid w:val="001962C2"/>
    <w:rsid w:val="001A04D2"/>
    <w:rsid w:val="001A19E0"/>
    <w:rsid w:val="001A23FE"/>
    <w:rsid w:val="001A24DD"/>
    <w:rsid w:val="001A2FF1"/>
    <w:rsid w:val="001A3824"/>
    <w:rsid w:val="001A3B68"/>
    <w:rsid w:val="001A3BEF"/>
    <w:rsid w:val="001A476C"/>
    <w:rsid w:val="001A4F36"/>
    <w:rsid w:val="001A4FCD"/>
    <w:rsid w:val="001A67B0"/>
    <w:rsid w:val="001B2E06"/>
    <w:rsid w:val="001B3720"/>
    <w:rsid w:val="001B381D"/>
    <w:rsid w:val="001B4186"/>
    <w:rsid w:val="001B538E"/>
    <w:rsid w:val="001B7951"/>
    <w:rsid w:val="001B7ADA"/>
    <w:rsid w:val="001C0A13"/>
    <w:rsid w:val="001C16B7"/>
    <w:rsid w:val="001C1F14"/>
    <w:rsid w:val="001C2035"/>
    <w:rsid w:val="001C239D"/>
    <w:rsid w:val="001C27BB"/>
    <w:rsid w:val="001C2D2F"/>
    <w:rsid w:val="001C3137"/>
    <w:rsid w:val="001C32CE"/>
    <w:rsid w:val="001C5321"/>
    <w:rsid w:val="001C5392"/>
    <w:rsid w:val="001C6C02"/>
    <w:rsid w:val="001D0835"/>
    <w:rsid w:val="001D24B9"/>
    <w:rsid w:val="001D26BB"/>
    <w:rsid w:val="001D3470"/>
    <w:rsid w:val="001D3508"/>
    <w:rsid w:val="001D36E1"/>
    <w:rsid w:val="001D4F2F"/>
    <w:rsid w:val="001E00C0"/>
    <w:rsid w:val="001E103C"/>
    <w:rsid w:val="001E1A19"/>
    <w:rsid w:val="001E2098"/>
    <w:rsid w:val="001E4238"/>
    <w:rsid w:val="001E4B5C"/>
    <w:rsid w:val="001E5130"/>
    <w:rsid w:val="001E549F"/>
    <w:rsid w:val="001E584A"/>
    <w:rsid w:val="001E66C3"/>
    <w:rsid w:val="001E724E"/>
    <w:rsid w:val="001E7A70"/>
    <w:rsid w:val="001F0F8B"/>
    <w:rsid w:val="001F3AED"/>
    <w:rsid w:val="001F410C"/>
    <w:rsid w:val="001F4BBC"/>
    <w:rsid w:val="001F538B"/>
    <w:rsid w:val="002001AB"/>
    <w:rsid w:val="002023B7"/>
    <w:rsid w:val="00202426"/>
    <w:rsid w:val="00203CCD"/>
    <w:rsid w:val="00204BED"/>
    <w:rsid w:val="0020550D"/>
    <w:rsid w:val="00205C5A"/>
    <w:rsid w:val="00207D4B"/>
    <w:rsid w:val="002133CC"/>
    <w:rsid w:val="002146BF"/>
    <w:rsid w:val="002152C8"/>
    <w:rsid w:val="00215474"/>
    <w:rsid w:val="00215BB0"/>
    <w:rsid w:val="00215D9C"/>
    <w:rsid w:val="00215DE1"/>
    <w:rsid w:val="00216325"/>
    <w:rsid w:val="00216478"/>
    <w:rsid w:val="002216EE"/>
    <w:rsid w:val="00221938"/>
    <w:rsid w:val="00222D99"/>
    <w:rsid w:val="00223A42"/>
    <w:rsid w:val="00223C62"/>
    <w:rsid w:val="00223D3A"/>
    <w:rsid w:val="00224B0C"/>
    <w:rsid w:val="00225DE4"/>
    <w:rsid w:val="00226587"/>
    <w:rsid w:val="002265F6"/>
    <w:rsid w:val="00226E2B"/>
    <w:rsid w:val="0022713E"/>
    <w:rsid w:val="0022737B"/>
    <w:rsid w:val="002275E6"/>
    <w:rsid w:val="002279BD"/>
    <w:rsid w:val="00227CEB"/>
    <w:rsid w:val="002311E9"/>
    <w:rsid w:val="00231A1A"/>
    <w:rsid w:val="00231B9D"/>
    <w:rsid w:val="00232915"/>
    <w:rsid w:val="00232F0F"/>
    <w:rsid w:val="00233F5C"/>
    <w:rsid w:val="00234E8B"/>
    <w:rsid w:val="00235944"/>
    <w:rsid w:val="00235DCF"/>
    <w:rsid w:val="00235FD1"/>
    <w:rsid w:val="00236490"/>
    <w:rsid w:val="00236A7E"/>
    <w:rsid w:val="00236D5C"/>
    <w:rsid w:val="002379E4"/>
    <w:rsid w:val="002406EC"/>
    <w:rsid w:val="002412AD"/>
    <w:rsid w:val="00241C2A"/>
    <w:rsid w:val="00241F19"/>
    <w:rsid w:val="0024260C"/>
    <w:rsid w:val="0024288D"/>
    <w:rsid w:val="00242A3D"/>
    <w:rsid w:val="00242DD3"/>
    <w:rsid w:val="002437F1"/>
    <w:rsid w:val="0024461D"/>
    <w:rsid w:val="002454BD"/>
    <w:rsid w:val="0024593C"/>
    <w:rsid w:val="00245EF9"/>
    <w:rsid w:val="002463D3"/>
    <w:rsid w:val="00250013"/>
    <w:rsid w:val="002512D6"/>
    <w:rsid w:val="0025167B"/>
    <w:rsid w:val="00252246"/>
    <w:rsid w:val="00252726"/>
    <w:rsid w:val="00252A42"/>
    <w:rsid w:val="00252E62"/>
    <w:rsid w:val="00252ED3"/>
    <w:rsid w:val="00254A8C"/>
    <w:rsid w:val="00254DFC"/>
    <w:rsid w:val="0025516B"/>
    <w:rsid w:val="002557CF"/>
    <w:rsid w:val="00255964"/>
    <w:rsid w:val="00255DAF"/>
    <w:rsid w:val="00255DB9"/>
    <w:rsid w:val="0025665C"/>
    <w:rsid w:val="00257599"/>
    <w:rsid w:val="0025774A"/>
    <w:rsid w:val="00257B82"/>
    <w:rsid w:val="002600EC"/>
    <w:rsid w:val="00261056"/>
    <w:rsid w:val="002625A9"/>
    <w:rsid w:val="00264344"/>
    <w:rsid w:val="0026517B"/>
    <w:rsid w:val="0026533F"/>
    <w:rsid w:val="002663A7"/>
    <w:rsid w:val="002672F6"/>
    <w:rsid w:val="00270049"/>
    <w:rsid w:val="0027070D"/>
    <w:rsid w:val="002718AB"/>
    <w:rsid w:val="00271C84"/>
    <w:rsid w:val="0027278B"/>
    <w:rsid w:val="00272D37"/>
    <w:rsid w:val="002730C2"/>
    <w:rsid w:val="00273BC5"/>
    <w:rsid w:val="00274461"/>
    <w:rsid w:val="002749C4"/>
    <w:rsid w:val="0027526D"/>
    <w:rsid w:val="00275CD2"/>
    <w:rsid w:val="00275DF5"/>
    <w:rsid w:val="00277ADF"/>
    <w:rsid w:val="00280298"/>
    <w:rsid w:val="00280F7A"/>
    <w:rsid w:val="00281F4E"/>
    <w:rsid w:val="00282341"/>
    <w:rsid w:val="002825B8"/>
    <w:rsid w:val="002827FB"/>
    <w:rsid w:val="002837C4"/>
    <w:rsid w:val="002839DD"/>
    <w:rsid w:val="00283CE0"/>
    <w:rsid w:val="00285D55"/>
    <w:rsid w:val="00287FA2"/>
    <w:rsid w:val="002907BF"/>
    <w:rsid w:val="00291955"/>
    <w:rsid w:val="00291E34"/>
    <w:rsid w:val="002922DE"/>
    <w:rsid w:val="00293F9C"/>
    <w:rsid w:val="00294C46"/>
    <w:rsid w:val="00294DD5"/>
    <w:rsid w:val="00296E49"/>
    <w:rsid w:val="00296E66"/>
    <w:rsid w:val="002974F7"/>
    <w:rsid w:val="002978AC"/>
    <w:rsid w:val="00297E9F"/>
    <w:rsid w:val="002A20FA"/>
    <w:rsid w:val="002A3074"/>
    <w:rsid w:val="002A3400"/>
    <w:rsid w:val="002A55C4"/>
    <w:rsid w:val="002A5613"/>
    <w:rsid w:val="002A5BAA"/>
    <w:rsid w:val="002A5BAB"/>
    <w:rsid w:val="002A7829"/>
    <w:rsid w:val="002A7D66"/>
    <w:rsid w:val="002A7FE0"/>
    <w:rsid w:val="002B028B"/>
    <w:rsid w:val="002B081C"/>
    <w:rsid w:val="002B1211"/>
    <w:rsid w:val="002B214B"/>
    <w:rsid w:val="002B2DC0"/>
    <w:rsid w:val="002B3367"/>
    <w:rsid w:val="002B3A50"/>
    <w:rsid w:val="002B3BCC"/>
    <w:rsid w:val="002B433F"/>
    <w:rsid w:val="002B4EDB"/>
    <w:rsid w:val="002B5383"/>
    <w:rsid w:val="002B63AE"/>
    <w:rsid w:val="002C0AE8"/>
    <w:rsid w:val="002C0C84"/>
    <w:rsid w:val="002C0E50"/>
    <w:rsid w:val="002C14DA"/>
    <w:rsid w:val="002C160E"/>
    <w:rsid w:val="002C1865"/>
    <w:rsid w:val="002C2061"/>
    <w:rsid w:val="002C26BE"/>
    <w:rsid w:val="002C3960"/>
    <w:rsid w:val="002C440B"/>
    <w:rsid w:val="002C49A4"/>
    <w:rsid w:val="002C6179"/>
    <w:rsid w:val="002C737A"/>
    <w:rsid w:val="002D04E9"/>
    <w:rsid w:val="002D0B61"/>
    <w:rsid w:val="002D13B1"/>
    <w:rsid w:val="002D160C"/>
    <w:rsid w:val="002D314C"/>
    <w:rsid w:val="002D32F0"/>
    <w:rsid w:val="002D3C5E"/>
    <w:rsid w:val="002D3DB7"/>
    <w:rsid w:val="002D3F2E"/>
    <w:rsid w:val="002D6429"/>
    <w:rsid w:val="002D6813"/>
    <w:rsid w:val="002E1355"/>
    <w:rsid w:val="002E170E"/>
    <w:rsid w:val="002E1A24"/>
    <w:rsid w:val="002E1DE8"/>
    <w:rsid w:val="002E2BFD"/>
    <w:rsid w:val="002E37E8"/>
    <w:rsid w:val="002E3D24"/>
    <w:rsid w:val="002E5511"/>
    <w:rsid w:val="002E557F"/>
    <w:rsid w:val="002E67FB"/>
    <w:rsid w:val="002E6A7E"/>
    <w:rsid w:val="002E71FD"/>
    <w:rsid w:val="002E729A"/>
    <w:rsid w:val="002E7B6B"/>
    <w:rsid w:val="002F04AB"/>
    <w:rsid w:val="002F1A2C"/>
    <w:rsid w:val="002F2196"/>
    <w:rsid w:val="002F21BC"/>
    <w:rsid w:val="002F26EC"/>
    <w:rsid w:val="002F2CE5"/>
    <w:rsid w:val="002F37C2"/>
    <w:rsid w:val="002F3A42"/>
    <w:rsid w:val="002F3E8A"/>
    <w:rsid w:val="002F4CDF"/>
    <w:rsid w:val="002F5B71"/>
    <w:rsid w:val="002F6B9F"/>
    <w:rsid w:val="002F72CC"/>
    <w:rsid w:val="002F75F3"/>
    <w:rsid w:val="00300DDD"/>
    <w:rsid w:val="00300F94"/>
    <w:rsid w:val="0030203E"/>
    <w:rsid w:val="0030221C"/>
    <w:rsid w:val="003024FB"/>
    <w:rsid w:val="00303247"/>
    <w:rsid w:val="003046E2"/>
    <w:rsid w:val="003052EF"/>
    <w:rsid w:val="0030542D"/>
    <w:rsid w:val="00306580"/>
    <w:rsid w:val="00306781"/>
    <w:rsid w:val="00306AD4"/>
    <w:rsid w:val="00307105"/>
    <w:rsid w:val="0030769B"/>
    <w:rsid w:val="00307A29"/>
    <w:rsid w:val="00307F7F"/>
    <w:rsid w:val="003110A7"/>
    <w:rsid w:val="003112E5"/>
    <w:rsid w:val="00311712"/>
    <w:rsid w:val="00311E34"/>
    <w:rsid w:val="0031277B"/>
    <w:rsid w:val="003129EC"/>
    <w:rsid w:val="00314A77"/>
    <w:rsid w:val="00314A8B"/>
    <w:rsid w:val="0031660F"/>
    <w:rsid w:val="00316F15"/>
    <w:rsid w:val="0032025B"/>
    <w:rsid w:val="003227C3"/>
    <w:rsid w:val="0032284D"/>
    <w:rsid w:val="003231A8"/>
    <w:rsid w:val="003236DD"/>
    <w:rsid w:val="00323D68"/>
    <w:rsid w:val="00324687"/>
    <w:rsid w:val="003251F4"/>
    <w:rsid w:val="0032589C"/>
    <w:rsid w:val="00326A8D"/>
    <w:rsid w:val="00327A78"/>
    <w:rsid w:val="003317F1"/>
    <w:rsid w:val="00332308"/>
    <w:rsid w:val="00332D83"/>
    <w:rsid w:val="0033300C"/>
    <w:rsid w:val="00333582"/>
    <w:rsid w:val="00335D87"/>
    <w:rsid w:val="0033634A"/>
    <w:rsid w:val="00336BAE"/>
    <w:rsid w:val="00336EAE"/>
    <w:rsid w:val="00336F38"/>
    <w:rsid w:val="00337984"/>
    <w:rsid w:val="0034045B"/>
    <w:rsid w:val="00340849"/>
    <w:rsid w:val="00342C8C"/>
    <w:rsid w:val="00344462"/>
    <w:rsid w:val="00344C66"/>
    <w:rsid w:val="0034574E"/>
    <w:rsid w:val="00346723"/>
    <w:rsid w:val="003468EE"/>
    <w:rsid w:val="00346C84"/>
    <w:rsid w:val="00352518"/>
    <w:rsid w:val="003532D4"/>
    <w:rsid w:val="003534D8"/>
    <w:rsid w:val="003538CC"/>
    <w:rsid w:val="00353D5B"/>
    <w:rsid w:val="003548AF"/>
    <w:rsid w:val="00355DE5"/>
    <w:rsid w:val="00356767"/>
    <w:rsid w:val="00357455"/>
    <w:rsid w:val="00360C7A"/>
    <w:rsid w:val="00361AA7"/>
    <w:rsid w:val="0036259F"/>
    <w:rsid w:val="00362766"/>
    <w:rsid w:val="00362835"/>
    <w:rsid w:val="003628E0"/>
    <w:rsid w:val="00362A0A"/>
    <w:rsid w:val="00362DD7"/>
    <w:rsid w:val="0036310F"/>
    <w:rsid w:val="0036339E"/>
    <w:rsid w:val="00363582"/>
    <w:rsid w:val="0036365D"/>
    <w:rsid w:val="00363951"/>
    <w:rsid w:val="00364F9E"/>
    <w:rsid w:val="003651F7"/>
    <w:rsid w:val="003653FC"/>
    <w:rsid w:val="00365CEC"/>
    <w:rsid w:val="00367E20"/>
    <w:rsid w:val="00370C0B"/>
    <w:rsid w:val="00372780"/>
    <w:rsid w:val="0037388E"/>
    <w:rsid w:val="00373CFE"/>
    <w:rsid w:val="00374600"/>
    <w:rsid w:val="003749C4"/>
    <w:rsid w:val="003750DC"/>
    <w:rsid w:val="0037639C"/>
    <w:rsid w:val="003766E6"/>
    <w:rsid w:val="00377C79"/>
    <w:rsid w:val="00377ED7"/>
    <w:rsid w:val="0038068D"/>
    <w:rsid w:val="0038170B"/>
    <w:rsid w:val="00381CA9"/>
    <w:rsid w:val="00382B6E"/>
    <w:rsid w:val="003831E4"/>
    <w:rsid w:val="003846B6"/>
    <w:rsid w:val="00384808"/>
    <w:rsid w:val="00384A53"/>
    <w:rsid w:val="00384AE1"/>
    <w:rsid w:val="0038789B"/>
    <w:rsid w:val="003878B3"/>
    <w:rsid w:val="0039022A"/>
    <w:rsid w:val="003910FE"/>
    <w:rsid w:val="00391143"/>
    <w:rsid w:val="0039119C"/>
    <w:rsid w:val="0039119E"/>
    <w:rsid w:val="00391E33"/>
    <w:rsid w:val="00393E51"/>
    <w:rsid w:val="00395BBB"/>
    <w:rsid w:val="00395F25"/>
    <w:rsid w:val="003962C1"/>
    <w:rsid w:val="003962E1"/>
    <w:rsid w:val="0039685E"/>
    <w:rsid w:val="00397B07"/>
    <w:rsid w:val="00397B99"/>
    <w:rsid w:val="003A1791"/>
    <w:rsid w:val="003A2B38"/>
    <w:rsid w:val="003A4A0C"/>
    <w:rsid w:val="003A5167"/>
    <w:rsid w:val="003A6A3C"/>
    <w:rsid w:val="003A7148"/>
    <w:rsid w:val="003A765F"/>
    <w:rsid w:val="003B0C01"/>
    <w:rsid w:val="003B31BB"/>
    <w:rsid w:val="003B37E3"/>
    <w:rsid w:val="003B3877"/>
    <w:rsid w:val="003B4902"/>
    <w:rsid w:val="003B4BCF"/>
    <w:rsid w:val="003B4C89"/>
    <w:rsid w:val="003B5C58"/>
    <w:rsid w:val="003B64B7"/>
    <w:rsid w:val="003B6C03"/>
    <w:rsid w:val="003B71E7"/>
    <w:rsid w:val="003B7DD8"/>
    <w:rsid w:val="003C07D5"/>
    <w:rsid w:val="003C163C"/>
    <w:rsid w:val="003C1EF5"/>
    <w:rsid w:val="003C34DB"/>
    <w:rsid w:val="003C3D98"/>
    <w:rsid w:val="003C5845"/>
    <w:rsid w:val="003C5D74"/>
    <w:rsid w:val="003C5DD6"/>
    <w:rsid w:val="003C71C0"/>
    <w:rsid w:val="003D061E"/>
    <w:rsid w:val="003D090A"/>
    <w:rsid w:val="003D0F86"/>
    <w:rsid w:val="003D1818"/>
    <w:rsid w:val="003D3700"/>
    <w:rsid w:val="003D392F"/>
    <w:rsid w:val="003D42B4"/>
    <w:rsid w:val="003D523D"/>
    <w:rsid w:val="003D5FCF"/>
    <w:rsid w:val="003D6815"/>
    <w:rsid w:val="003D73CD"/>
    <w:rsid w:val="003E052F"/>
    <w:rsid w:val="003E2A78"/>
    <w:rsid w:val="003E2EAA"/>
    <w:rsid w:val="003E45D0"/>
    <w:rsid w:val="003E6B12"/>
    <w:rsid w:val="003E6D9C"/>
    <w:rsid w:val="003F1082"/>
    <w:rsid w:val="003F118E"/>
    <w:rsid w:val="003F151E"/>
    <w:rsid w:val="003F228B"/>
    <w:rsid w:val="003F374D"/>
    <w:rsid w:val="003F48E8"/>
    <w:rsid w:val="003F5578"/>
    <w:rsid w:val="003F5C23"/>
    <w:rsid w:val="003F72CA"/>
    <w:rsid w:val="003F7639"/>
    <w:rsid w:val="00400467"/>
    <w:rsid w:val="0040167E"/>
    <w:rsid w:val="0040291F"/>
    <w:rsid w:val="00402D8B"/>
    <w:rsid w:val="00404E0D"/>
    <w:rsid w:val="00405A63"/>
    <w:rsid w:val="0040650C"/>
    <w:rsid w:val="00407203"/>
    <w:rsid w:val="00407CAB"/>
    <w:rsid w:val="00410437"/>
    <w:rsid w:val="0041046D"/>
    <w:rsid w:val="00410F5B"/>
    <w:rsid w:val="004113E0"/>
    <w:rsid w:val="0041175E"/>
    <w:rsid w:val="00412664"/>
    <w:rsid w:val="00412A4E"/>
    <w:rsid w:val="00412F58"/>
    <w:rsid w:val="0041326B"/>
    <w:rsid w:val="00413CD4"/>
    <w:rsid w:val="0041427D"/>
    <w:rsid w:val="00415830"/>
    <w:rsid w:val="00416A92"/>
    <w:rsid w:val="004170F4"/>
    <w:rsid w:val="00422473"/>
    <w:rsid w:val="004231FF"/>
    <w:rsid w:val="0042321A"/>
    <w:rsid w:val="00423FE4"/>
    <w:rsid w:val="00424AEB"/>
    <w:rsid w:val="00424FF0"/>
    <w:rsid w:val="0042565A"/>
    <w:rsid w:val="00426246"/>
    <w:rsid w:val="00426606"/>
    <w:rsid w:val="00426CB7"/>
    <w:rsid w:val="004272E5"/>
    <w:rsid w:val="004273F0"/>
    <w:rsid w:val="004302D6"/>
    <w:rsid w:val="00431637"/>
    <w:rsid w:val="004333AD"/>
    <w:rsid w:val="004334E6"/>
    <w:rsid w:val="00433742"/>
    <w:rsid w:val="00433A1E"/>
    <w:rsid w:val="00434191"/>
    <w:rsid w:val="004341BD"/>
    <w:rsid w:val="00434866"/>
    <w:rsid w:val="00434A92"/>
    <w:rsid w:val="00434E08"/>
    <w:rsid w:val="0043517F"/>
    <w:rsid w:val="0043519E"/>
    <w:rsid w:val="00440C00"/>
    <w:rsid w:val="00441AB7"/>
    <w:rsid w:val="0044224B"/>
    <w:rsid w:val="00442D06"/>
    <w:rsid w:val="00442F06"/>
    <w:rsid w:val="004432D7"/>
    <w:rsid w:val="004433FE"/>
    <w:rsid w:val="00444374"/>
    <w:rsid w:val="004445D8"/>
    <w:rsid w:val="00444926"/>
    <w:rsid w:val="004449FE"/>
    <w:rsid w:val="004450BE"/>
    <w:rsid w:val="0044570C"/>
    <w:rsid w:val="00446B81"/>
    <w:rsid w:val="004470FD"/>
    <w:rsid w:val="0045089A"/>
    <w:rsid w:val="00450B3B"/>
    <w:rsid w:val="0045239E"/>
    <w:rsid w:val="004526D9"/>
    <w:rsid w:val="004532E3"/>
    <w:rsid w:val="00453D0D"/>
    <w:rsid w:val="00453F75"/>
    <w:rsid w:val="00454A84"/>
    <w:rsid w:val="00454F5D"/>
    <w:rsid w:val="004554D2"/>
    <w:rsid w:val="004567A9"/>
    <w:rsid w:val="00457060"/>
    <w:rsid w:val="00460F82"/>
    <w:rsid w:val="00462211"/>
    <w:rsid w:val="00463026"/>
    <w:rsid w:val="00463313"/>
    <w:rsid w:val="00463521"/>
    <w:rsid w:val="00463AFC"/>
    <w:rsid w:val="00465187"/>
    <w:rsid w:val="0046645E"/>
    <w:rsid w:val="00466508"/>
    <w:rsid w:val="004712B6"/>
    <w:rsid w:val="00473DE0"/>
    <w:rsid w:val="00473F9C"/>
    <w:rsid w:val="0047532B"/>
    <w:rsid w:val="00477500"/>
    <w:rsid w:val="00480F01"/>
    <w:rsid w:val="00482720"/>
    <w:rsid w:val="00482D66"/>
    <w:rsid w:val="00483955"/>
    <w:rsid w:val="00483C0B"/>
    <w:rsid w:val="0048524F"/>
    <w:rsid w:val="0048530F"/>
    <w:rsid w:val="004859E9"/>
    <w:rsid w:val="00485B16"/>
    <w:rsid w:val="0049040A"/>
    <w:rsid w:val="004916AC"/>
    <w:rsid w:val="00493415"/>
    <w:rsid w:val="00493FCE"/>
    <w:rsid w:val="004943F2"/>
    <w:rsid w:val="00494DB0"/>
    <w:rsid w:val="00495F68"/>
    <w:rsid w:val="00496711"/>
    <w:rsid w:val="004968A0"/>
    <w:rsid w:val="004A02A8"/>
    <w:rsid w:val="004A14D7"/>
    <w:rsid w:val="004A16BD"/>
    <w:rsid w:val="004A3AC1"/>
    <w:rsid w:val="004A458A"/>
    <w:rsid w:val="004A4C62"/>
    <w:rsid w:val="004A4DC2"/>
    <w:rsid w:val="004A66B7"/>
    <w:rsid w:val="004A6A7C"/>
    <w:rsid w:val="004A6BB4"/>
    <w:rsid w:val="004B0737"/>
    <w:rsid w:val="004B0D1B"/>
    <w:rsid w:val="004B2664"/>
    <w:rsid w:val="004B2665"/>
    <w:rsid w:val="004B3359"/>
    <w:rsid w:val="004B37CB"/>
    <w:rsid w:val="004B4D2F"/>
    <w:rsid w:val="004B5924"/>
    <w:rsid w:val="004B5AB8"/>
    <w:rsid w:val="004B5CC9"/>
    <w:rsid w:val="004B6DB0"/>
    <w:rsid w:val="004B6EFF"/>
    <w:rsid w:val="004C0CF5"/>
    <w:rsid w:val="004C19F8"/>
    <w:rsid w:val="004C1D91"/>
    <w:rsid w:val="004C23FF"/>
    <w:rsid w:val="004C2A47"/>
    <w:rsid w:val="004C35DC"/>
    <w:rsid w:val="004C3FC1"/>
    <w:rsid w:val="004C410F"/>
    <w:rsid w:val="004C4A82"/>
    <w:rsid w:val="004C6BE1"/>
    <w:rsid w:val="004C78AE"/>
    <w:rsid w:val="004C78C4"/>
    <w:rsid w:val="004C7E56"/>
    <w:rsid w:val="004D0603"/>
    <w:rsid w:val="004D081D"/>
    <w:rsid w:val="004D12D9"/>
    <w:rsid w:val="004D18E5"/>
    <w:rsid w:val="004D2EFB"/>
    <w:rsid w:val="004D33A0"/>
    <w:rsid w:val="004D3945"/>
    <w:rsid w:val="004D3A04"/>
    <w:rsid w:val="004D6203"/>
    <w:rsid w:val="004D67E5"/>
    <w:rsid w:val="004D6E1E"/>
    <w:rsid w:val="004D6F3F"/>
    <w:rsid w:val="004D7222"/>
    <w:rsid w:val="004D7AE8"/>
    <w:rsid w:val="004E03C8"/>
    <w:rsid w:val="004E03C9"/>
    <w:rsid w:val="004E0B4F"/>
    <w:rsid w:val="004E0BB9"/>
    <w:rsid w:val="004E10E8"/>
    <w:rsid w:val="004E1520"/>
    <w:rsid w:val="004E292D"/>
    <w:rsid w:val="004E547A"/>
    <w:rsid w:val="004F0080"/>
    <w:rsid w:val="004F0C8C"/>
    <w:rsid w:val="004F1700"/>
    <w:rsid w:val="004F1C96"/>
    <w:rsid w:val="004F2917"/>
    <w:rsid w:val="004F2C86"/>
    <w:rsid w:val="004F321F"/>
    <w:rsid w:val="004F57E3"/>
    <w:rsid w:val="004F5CB6"/>
    <w:rsid w:val="004F7738"/>
    <w:rsid w:val="004F78A8"/>
    <w:rsid w:val="004F795A"/>
    <w:rsid w:val="00500600"/>
    <w:rsid w:val="00501290"/>
    <w:rsid w:val="0050150B"/>
    <w:rsid w:val="0050158B"/>
    <w:rsid w:val="00502781"/>
    <w:rsid w:val="00504066"/>
    <w:rsid w:val="005059A4"/>
    <w:rsid w:val="00505BCD"/>
    <w:rsid w:val="00506112"/>
    <w:rsid w:val="005068A1"/>
    <w:rsid w:val="005072F3"/>
    <w:rsid w:val="00510379"/>
    <w:rsid w:val="00510EB5"/>
    <w:rsid w:val="005127D5"/>
    <w:rsid w:val="00512D15"/>
    <w:rsid w:val="00512F1E"/>
    <w:rsid w:val="00513137"/>
    <w:rsid w:val="00513EF8"/>
    <w:rsid w:val="00515A85"/>
    <w:rsid w:val="00515ADB"/>
    <w:rsid w:val="00516803"/>
    <w:rsid w:val="00516811"/>
    <w:rsid w:val="00516860"/>
    <w:rsid w:val="00521360"/>
    <w:rsid w:val="005218EB"/>
    <w:rsid w:val="00521E4F"/>
    <w:rsid w:val="005225EE"/>
    <w:rsid w:val="00525122"/>
    <w:rsid w:val="005253DF"/>
    <w:rsid w:val="005257C0"/>
    <w:rsid w:val="005276B7"/>
    <w:rsid w:val="00530394"/>
    <w:rsid w:val="005309CE"/>
    <w:rsid w:val="005316D7"/>
    <w:rsid w:val="00534E57"/>
    <w:rsid w:val="00536AE0"/>
    <w:rsid w:val="0053781C"/>
    <w:rsid w:val="00537913"/>
    <w:rsid w:val="00537E7F"/>
    <w:rsid w:val="0054043A"/>
    <w:rsid w:val="0054235D"/>
    <w:rsid w:val="00544876"/>
    <w:rsid w:val="0054663A"/>
    <w:rsid w:val="00547DBF"/>
    <w:rsid w:val="005502D7"/>
    <w:rsid w:val="005509A3"/>
    <w:rsid w:val="00551A88"/>
    <w:rsid w:val="005533E1"/>
    <w:rsid w:val="005553A9"/>
    <w:rsid w:val="005560D8"/>
    <w:rsid w:val="00556D10"/>
    <w:rsid w:val="00557852"/>
    <w:rsid w:val="00557B36"/>
    <w:rsid w:val="0056126C"/>
    <w:rsid w:val="00561872"/>
    <w:rsid w:val="00561F33"/>
    <w:rsid w:val="00562255"/>
    <w:rsid w:val="005627B0"/>
    <w:rsid w:val="00564DC8"/>
    <w:rsid w:val="00570084"/>
    <w:rsid w:val="00570B25"/>
    <w:rsid w:val="00570BBE"/>
    <w:rsid w:val="00570C57"/>
    <w:rsid w:val="0057192F"/>
    <w:rsid w:val="005725D6"/>
    <w:rsid w:val="00573445"/>
    <w:rsid w:val="0057411B"/>
    <w:rsid w:val="00574D83"/>
    <w:rsid w:val="00575029"/>
    <w:rsid w:val="0057670F"/>
    <w:rsid w:val="00580A78"/>
    <w:rsid w:val="00580E2C"/>
    <w:rsid w:val="00582428"/>
    <w:rsid w:val="00583B5D"/>
    <w:rsid w:val="00583F64"/>
    <w:rsid w:val="005840E3"/>
    <w:rsid w:val="00585109"/>
    <w:rsid w:val="00585A5A"/>
    <w:rsid w:val="005860A6"/>
    <w:rsid w:val="005868CD"/>
    <w:rsid w:val="00587A9D"/>
    <w:rsid w:val="005908A1"/>
    <w:rsid w:val="005915BD"/>
    <w:rsid w:val="00593B0C"/>
    <w:rsid w:val="005948C3"/>
    <w:rsid w:val="00594E53"/>
    <w:rsid w:val="005950F8"/>
    <w:rsid w:val="005957DE"/>
    <w:rsid w:val="00595919"/>
    <w:rsid w:val="0059600F"/>
    <w:rsid w:val="005966D1"/>
    <w:rsid w:val="00596881"/>
    <w:rsid w:val="00597237"/>
    <w:rsid w:val="005974D2"/>
    <w:rsid w:val="00597A11"/>
    <w:rsid w:val="005A0035"/>
    <w:rsid w:val="005A0386"/>
    <w:rsid w:val="005A1367"/>
    <w:rsid w:val="005A19D0"/>
    <w:rsid w:val="005A1B07"/>
    <w:rsid w:val="005A3A13"/>
    <w:rsid w:val="005A3A6A"/>
    <w:rsid w:val="005A3CD9"/>
    <w:rsid w:val="005A4715"/>
    <w:rsid w:val="005A4F4B"/>
    <w:rsid w:val="005A593C"/>
    <w:rsid w:val="005A6C6E"/>
    <w:rsid w:val="005A76EC"/>
    <w:rsid w:val="005B1038"/>
    <w:rsid w:val="005B3789"/>
    <w:rsid w:val="005B4D91"/>
    <w:rsid w:val="005B53C8"/>
    <w:rsid w:val="005B587A"/>
    <w:rsid w:val="005B6138"/>
    <w:rsid w:val="005B69BA"/>
    <w:rsid w:val="005B727B"/>
    <w:rsid w:val="005B75FD"/>
    <w:rsid w:val="005B7DA3"/>
    <w:rsid w:val="005C039B"/>
    <w:rsid w:val="005C0F42"/>
    <w:rsid w:val="005C17E6"/>
    <w:rsid w:val="005C1CEE"/>
    <w:rsid w:val="005C3E93"/>
    <w:rsid w:val="005C3EAB"/>
    <w:rsid w:val="005C423C"/>
    <w:rsid w:val="005C4671"/>
    <w:rsid w:val="005C617D"/>
    <w:rsid w:val="005C629E"/>
    <w:rsid w:val="005C6650"/>
    <w:rsid w:val="005C677D"/>
    <w:rsid w:val="005C6A2A"/>
    <w:rsid w:val="005C6A81"/>
    <w:rsid w:val="005D0B41"/>
    <w:rsid w:val="005D3305"/>
    <w:rsid w:val="005D3387"/>
    <w:rsid w:val="005D578E"/>
    <w:rsid w:val="005D59DA"/>
    <w:rsid w:val="005D643D"/>
    <w:rsid w:val="005D723C"/>
    <w:rsid w:val="005D7FFE"/>
    <w:rsid w:val="005E05DC"/>
    <w:rsid w:val="005E0C15"/>
    <w:rsid w:val="005E1045"/>
    <w:rsid w:val="005E17DB"/>
    <w:rsid w:val="005E2310"/>
    <w:rsid w:val="005E2434"/>
    <w:rsid w:val="005E247E"/>
    <w:rsid w:val="005E2A82"/>
    <w:rsid w:val="005E4FF9"/>
    <w:rsid w:val="005E57A5"/>
    <w:rsid w:val="005E61D7"/>
    <w:rsid w:val="005E643E"/>
    <w:rsid w:val="005F0959"/>
    <w:rsid w:val="005F0D3A"/>
    <w:rsid w:val="005F1A7A"/>
    <w:rsid w:val="005F2038"/>
    <w:rsid w:val="005F2169"/>
    <w:rsid w:val="005F22D5"/>
    <w:rsid w:val="005F275E"/>
    <w:rsid w:val="005F29D8"/>
    <w:rsid w:val="005F2CDB"/>
    <w:rsid w:val="005F2DDD"/>
    <w:rsid w:val="005F356A"/>
    <w:rsid w:val="005F368C"/>
    <w:rsid w:val="005F5537"/>
    <w:rsid w:val="005F5A43"/>
    <w:rsid w:val="005F61A7"/>
    <w:rsid w:val="005F67BB"/>
    <w:rsid w:val="005F73ED"/>
    <w:rsid w:val="005F74D5"/>
    <w:rsid w:val="00600C1E"/>
    <w:rsid w:val="00601173"/>
    <w:rsid w:val="00601295"/>
    <w:rsid w:val="00603187"/>
    <w:rsid w:val="00604174"/>
    <w:rsid w:val="00605328"/>
    <w:rsid w:val="0060598C"/>
    <w:rsid w:val="00605A5F"/>
    <w:rsid w:val="00605AFE"/>
    <w:rsid w:val="00605F06"/>
    <w:rsid w:val="00606BDE"/>
    <w:rsid w:val="00607402"/>
    <w:rsid w:val="00607DBC"/>
    <w:rsid w:val="0061107A"/>
    <w:rsid w:val="006114B7"/>
    <w:rsid w:val="00613B29"/>
    <w:rsid w:val="00615453"/>
    <w:rsid w:val="00621B24"/>
    <w:rsid w:val="0062375F"/>
    <w:rsid w:val="006249EC"/>
    <w:rsid w:val="00626A16"/>
    <w:rsid w:val="00631201"/>
    <w:rsid w:val="00632394"/>
    <w:rsid w:val="006327E0"/>
    <w:rsid w:val="00632AF2"/>
    <w:rsid w:val="00633492"/>
    <w:rsid w:val="00636C97"/>
    <w:rsid w:val="00637FC5"/>
    <w:rsid w:val="00640F76"/>
    <w:rsid w:val="00642750"/>
    <w:rsid w:val="006441BD"/>
    <w:rsid w:val="00644F16"/>
    <w:rsid w:val="00646151"/>
    <w:rsid w:val="00646394"/>
    <w:rsid w:val="00646494"/>
    <w:rsid w:val="00646B37"/>
    <w:rsid w:val="00647010"/>
    <w:rsid w:val="006477DE"/>
    <w:rsid w:val="00651A2B"/>
    <w:rsid w:val="00652696"/>
    <w:rsid w:val="00654173"/>
    <w:rsid w:val="00654251"/>
    <w:rsid w:val="006542BE"/>
    <w:rsid w:val="00654B0E"/>
    <w:rsid w:val="0065695C"/>
    <w:rsid w:val="006579AC"/>
    <w:rsid w:val="00661DA6"/>
    <w:rsid w:val="00662309"/>
    <w:rsid w:val="0066232C"/>
    <w:rsid w:val="00662F28"/>
    <w:rsid w:val="006642FF"/>
    <w:rsid w:val="00665159"/>
    <w:rsid w:val="006657CD"/>
    <w:rsid w:val="00665C5C"/>
    <w:rsid w:val="00666C16"/>
    <w:rsid w:val="00666CFD"/>
    <w:rsid w:val="006676B4"/>
    <w:rsid w:val="0067047F"/>
    <w:rsid w:val="00673258"/>
    <w:rsid w:val="00673568"/>
    <w:rsid w:val="0067367B"/>
    <w:rsid w:val="00674CE4"/>
    <w:rsid w:val="0067528B"/>
    <w:rsid w:val="00677AEA"/>
    <w:rsid w:val="00677C72"/>
    <w:rsid w:val="00677E31"/>
    <w:rsid w:val="00680BB7"/>
    <w:rsid w:val="0068287A"/>
    <w:rsid w:val="006828BB"/>
    <w:rsid w:val="00682BE4"/>
    <w:rsid w:val="00682F8B"/>
    <w:rsid w:val="00683C7C"/>
    <w:rsid w:val="00684C45"/>
    <w:rsid w:val="006858E9"/>
    <w:rsid w:val="0068755F"/>
    <w:rsid w:val="00687B3A"/>
    <w:rsid w:val="00690161"/>
    <w:rsid w:val="00693628"/>
    <w:rsid w:val="00694A62"/>
    <w:rsid w:val="0069644D"/>
    <w:rsid w:val="0069659A"/>
    <w:rsid w:val="00697A60"/>
    <w:rsid w:val="006A174F"/>
    <w:rsid w:val="006A1D01"/>
    <w:rsid w:val="006A38F1"/>
    <w:rsid w:val="006A45E1"/>
    <w:rsid w:val="006A60A0"/>
    <w:rsid w:val="006A7274"/>
    <w:rsid w:val="006B26F7"/>
    <w:rsid w:val="006B2B25"/>
    <w:rsid w:val="006B5119"/>
    <w:rsid w:val="006B6FF7"/>
    <w:rsid w:val="006B7FD3"/>
    <w:rsid w:val="006C02BD"/>
    <w:rsid w:val="006C04AB"/>
    <w:rsid w:val="006C0A08"/>
    <w:rsid w:val="006C0A49"/>
    <w:rsid w:val="006C1284"/>
    <w:rsid w:val="006C1B78"/>
    <w:rsid w:val="006C2E8E"/>
    <w:rsid w:val="006C2E9B"/>
    <w:rsid w:val="006C329D"/>
    <w:rsid w:val="006C3C52"/>
    <w:rsid w:val="006C3FEF"/>
    <w:rsid w:val="006C4736"/>
    <w:rsid w:val="006C48A7"/>
    <w:rsid w:val="006C5172"/>
    <w:rsid w:val="006C53FB"/>
    <w:rsid w:val="006C582B"/>
    <w:rsid w:val="006C589B"/>
    <w:rsid w:val="006C58AD"/>
    <w:rsid w:val="006C61F5"/>
    <w:rsid w:val="006C7729"/>
    <w:rsid w:val="006C7778"/>
    <w:rsid w:val="006C7B70"/>
    <w:rsid w:val="006D0E62"/>
    <w:rsid w:val="006D163D"/>
    <w:rsid w:val="006D38CF"/>
    <w:rsid w:val="006D443A"/>
    <w:rsid w:val="006D4771"/>
    <w:rsid w:val="006D5C46"/>
    <w:rsid w:val="006D5E9D"/>
    <w:rsid w:val="006D6400"/>
    <w:rsid w:val="006E1E82"/>
    <w:rsid w:val="006E2257"/>
    <w:rsid w:val="006E25D9"/>
    <w:rsid w:val="006E278E"/>
    <w:rsid w:val="006E383D"/>
    <w:rsid w:val="006E41F6"/>
    <w:rsid w:val="006E582D"/>
    <w:rsid w:val="006E594F"/>
    <w:rsid w:val="006E5D13"/>
    <w:rsid w:val="006E7A32"/>
    <w:rsid w:val="006F0B12"/>
    <w:rsid w:val="006F29D5"/>
    <w:rsid w:val="006F4ACD"/>
    <w:rsid w:val="006F514C"/>
    <w:rsid w:val="006F572A"/>
    <w:rsid w:val="006F6CCE"/>
    <w:rsid w:val="00701880"/>
    <w:rsid w:val="007022D4"/>
    <w:rsid w:val="00703190"/>
    <w:rsid w:val="00703BA5"/>
    <w:rsid w:val="00703F6B"/>
    <w:rsid w:val="00704065"/>
    <w:rsid w:val="007050CC"/>
    <w:rsid w:val="007050EA"/>
    <w:rsid w:val="00706F7D"/>
    <w:rsid w:val="007077EF"/>
    <w:rsid w:val="00710514"/>
    <w:rsid w:val="007107F0"/>
    <w:rsid w:val="00710BA6"/>
    <w:rsid w:val="00712158"/>
    <w:rsid w:val="00712388"/>
    <w:rsid w:val="00712C76"/>
    <w:rsid w:val="007136C7"/>
    <w:rsid w:val="007142BD"/>
    <w:rsid w:val="00715595"/>
    <w:rsid w:val="00717CFA"/>
    <w:rsid w:val="0072016A"/>
    <w:rsid w:val="00720BB7"/>
    <w:rsid w:val="007213E2"/>
    <w:rsid w:val="00721644"/>
    <w:rsid w:val="007229D2"/>
    <w:rsid w:val="00722AAD"/>
    <w:rsid w:val="00723470"/>
    <w:rsid w:val="007244A3"/>
    <w:rsid w:val="00724D33"/>
    <w:rsid w:val="00724E97"/>
    <w:rsid w:val="00724FC2"/>
    <w:rsid w:val="00725373"/>
    <w:rsid w:val="0072574C"/>
    <w:rsid w:val="00725A9F"/>
    <w:rsid w:val="00726240"/>
    <w:rsid w:val="00726CC5"/>
    <w:rsid w:val="00727267"/>
    <w:rsid w:val="0072779D"/>
    <w:rsid w:val="00730444"/>
    <w:rsid w:val="007313BC"/>
    <w:rsid w:val="007315D8"/>
    <w:rsid w:val="0073198C"/>
    <w:rsid w:val="00732344"/>
    <w:rsid w:val="007327D6"/>
    <w:rsid w:val="00735A7A"/>
    <w:rsid w:val="00735BB1"/>
    <w:rsid w:val="00740B6C"/>
    <w:rsid w:val="00741668"/>
    <w:rsid w:val="00741A8D"/>
    <w:rsid w:val="00741E6B"/>
    <w:rsid w:val="00745445"/>
    <w:rsid w:val="0074574A"/>
    <w:rsid w:val="00745BD2"/>
    <w:rsid w:val="00746387"/>
    <w:rsid w:val="00746F22"/>
    <w:rsid w:val="007513B8"/>
    <w:rsid w:val="00751896"/>
    <w:rsid w:val="00752C15"/>
    <w:rsid w:val="00755773"/>
    <w:rsid w:val="00755E71"/>
    <w:rsid w:val="007563D9"/>
    <w:rsid w:val="00757FAF"/>
    <w:rsid w:val="00760302"/>
    <w:rsid w:val="007603E1"/>
    <w:rsid w:val="00761305"/>
    <w:rsid w:val="0076167C"/>
    <w:rsid w:val="00762D5F"/>
    <w:rsid w:val="007637D0"/>
    <w:rsid w:val="007643C5"/>
    <w:rsid w:val="00764E4A"/>
    <w:rsid w:val="00766E70"/>
    <w:rsid w:val="00767D39"/>
    <w:rsid w:val="00767F4E"/>
    <w:rsid w:val="00770123"/>
    <w:rsid w:val="00770FE2"/>
    <w:rsid w:val="007733E8"/>
    <w:rsid w:val="00773CAF"/>
    <w:rsid w:val="0077432D"/>
    <w:rsid w:val="00777F85"/>
    <w:rsid w:val="00780DB3"/>
    <w:rsid w:val="00782D6E"/>
    <w:rsid w:val="00783CB6"/>
    <w:rsid w:val="00784A16"/>
    <w:rsid w:val="00784C02"/>
    <w:rsid w:val="007854FB"/>
    <w:rsid w:val="00785E34"/>
    <w:rsid w:val="007900E5"/>
    <w:rsid w:val="00791040"/>
    <w:rsid w:val="0079279F"/>
    <w:rsid w:val="00793942"/>
    <w:rsid w:val="00794DDF"/>
    <w:rsid w:val="00795E85"/>
    <w:rsid w:val="00796322"/>
    <w:rsid w:val="007974EB"/>
    <w:rsid w:val="007975E6"/>
    <w:rsid w:val="007A0302"/>
    <w:rsid w:val="007A0C21"/>
    <w:rsid w:val="007A1F1A"/>
    <w:rsid w:val="007A2D20"/>
    <w:rsid w:val="007A4045"/>
    <w:rsid w:val="007A4740"/>
    <w:rsid w:val="007A5BCF"/>
    <w:rsid w:val="007A6022"/>
    <w:rsid w:val="007A63AC"/>
    <w:rsid w:val="007A6BA1"/>
    <w:rsid w:val="007B016C"/>
    <w:rsid w:val="007B52B5"/>
    <w:rsid w:val="007B5DCD"/>
    <w:rsid w:val="007B6508"/>
    <w:rsid w:val="007B6593"/>
    <w:rsid w:val="007B6853"/>
    <w:rsid w:val="007B6F70"/>
    <w:rsid w:val="007B70FE"/>
    <w:rsid w:val="007B743B"/>
    <w:rsid w:val="007B7618"/>
    <w:rsid w:val="007C06D2"/>
    <w:rsid w:val="007C1814"/>
    <w:rsid w:val="007C1B36"/>
    <w:rsid w:val="007C3B89"/>
    <w:rsid w:val="007C7155"/>
    <w:rsid w:val="007D0951"/>
    <w:rsid w:val="007D0F74"/>
    <w:rsid w:val="007D1B0F"/>
    <w:rsid w:val="007D231B"/>
    <w:rsid w:val="007D3581"/>
    <w:rsid w:val="007D3EEB"/>
    <w:rsid w:val="007D4AE5"/>
    <w:rsid w:val="007D4B44"/>
    <w:rsid w:val="007D596B"/>
    <w:rsid w:val="007D5B5A"/>
    <w:rsid w:val="007D61F7"/>
    <w:rsid w:val="007D6462"/>
    <w:rsid w:val="007D65B8"/>
    <w:rsid w:val="007D65DA"/>
    <w:rsid w:val="007D7750"/>
    <w:rsid w:val="007E062A"/>
    <w:rsid w:val="007E1231"/>
    <w:rsid w:val="007E23D9"/>
    <w:rsid w:val="007E2BFF"/>
    <w:rsid w:val="007E2D93"/>
    <w:rsid w:val="007E467B"/>
    <w:rsid w:val="007E4CFE"/>
    <w:rsid w:val="007E6D64"/>
    <w:rsid w:val="007E7D8B"/>
    <w:rsid w:val="007F1140"/>
    <w:rsid w:val="007F175E"/>
    <w:rsid w:val="007F1999"/>
    <w:rsid w:val="007F270A"/>
    <w:rsid w:val="007F2A09"/>
    <w:rsid w:val="007F511E"/>
    <w:rsid w:val="007F5CE6"/>
    <w:rsid w:val="007F64AD"/>
    <w:rsid w:val="007F6748"/>
    <w:rsid w:val="007F7A76"/>
    <w:rsid w:val="008008F7"/>
    <w:rsid w:val="008014FE"/>
    <w:rsid w:val="00801F12"/>
    <w:rsid w:val="00802E6C"/>
    <w:rsid w:val="00802FBE"/>
    <w:rsid w:val="00803530"/>
    <w:rsid w:val="00804733"/>
    <w:rsid w:val="00804BCF"/>
    <w:rsid w:val="00805443"/>
    <w:rsid w:val="00806D9D"/>
    <w:rsid w:val="008078D3"/>
    <w:rsid w:val="00807BC7"/>
    <w:rsid w:val="008105A3"/>
    <w:rsid w:val="008106AA"/>
    <w:rsid w:val="00811D1F"/>
    <w:rsid w:val="00811FF8"/>
    <w:rsid w:val="0081260F"/>
    <w:rsid w:val="0081580A"/>
    <w:rsid w:val="008158F3"/>
    <w:rsid w:val="00817579"/>
    <w:rsid w:val="00817AA9"/>
    <w:rsid w:val="00821195"/>
    <w:rsid w:val="008213DC"/>
    <w:rsid w:val="0082189B"/>
    <w:rsid w:val="00821F9F"/>
    <w:rsid w:val="0082222A"/>
    <w:rsid w:val="0082253F"/>
    <w:rsid w:val="00822F89"/>
    <w:rsid w:val="008235AF"/>
    <w:rsid w:val="00823DB7"/>
    <w:rsid w:val="00824146"/>
    <w:rsid w:val="008241AB"/>
    <w:rsid w:val="0082541D"/>
    <w:rsid w:val="00825A22"/>
    <w:rsid w:val="00825CB9"/>
    <w:rsid w:val="008263F2"/>
    <w:rsid w:val="00826856"/>
    <w:rsid w:val="00826BE9"/>
    <w:rsid w:val="00830B53"/>
    <w:rsid w:val="0083184B"/>
    <w:rsid w:val="008340A0"/>
    <w:rsid w:val="00834909"/>
    <w:rsid w:val="00834955"/>
    <w:rsid w:val="00837EDD"/>
    <w:rsid w:val="0084036D"/>
    <w:rsid w:val="0084146A"/>
    <w:rsid w:val="008420F6"/>
    <w:rsid w:val="00843E51"/>
    <w:rsid w:val="00843ED8"/>
    <w:rsid w:val="0084524E"/>
    <w:rsid w:val="00845BBA"/>
    <w:rsid w:val="00846355"/>
    <w:rsid w:val="00847065"/>
    <w:rsid w:val="00847A76"/>
    <w:rsid w:val="00850055"/>
    <w:rsid w:val="00850DCA"/>
    <w:rsid w:val="0085118E"/>
    <w:rsid w:val="008511F1"/>
    <w:rsid w:val="00852188"/>
    <w:rsid w:val="00853056"/>
    <w:rsid w:val="0085328E"/>
    <w:rsid w:val="0085343D"/>
    <w:rsid w:val="008553BD"/>
    <w:rsid w:val="00857209"/>
    <w:rsid w:val="00860A23"/>
    <w:rsid w:val="008616D9"/>
    <w:rsid w:val="008620A6"/>
    <w:rsid w:val="00862178"/>
    <w:rsid w:val="00863320"/>
    <w:rsid w:val="00863492"/>
    <w:rsid w:val="0086392F"/>
    <w:rsid w:val="00863BBF"/>
    <w:rsid w:val="008644E1"/>
    <w:rsid w:val="00864512"/>
    <w:rsid w:val="008646EE"/>
    <w:rsid w:val="0086629F"/>
    <w:rsid w:val="00866F16"/>
    <w:rsid w:val="00867084"/>
    <w:rsid w:val="00867FE6"/>
    <w:rsid w:val="00870B6A"/>
    <w:rsid w:val="008718B9"/>
    <w:rsid w:val="00871956"/>
    <w:rsid w:val="00872ACE"/>
    <w:rsid w:val="00874B9C"/>
    <w:rsid w:val="00874F83"/>
    <w:rsid w:val="008757E5"/>
    <w:rsid w:val="008764E5"/>
    <w:rsid w:val="00877678"/>
    <w:rsid w:val="008801E2"/>
    <w:rsid w:val="008807AA"/>
    <w:rsid w:val="00880ED8"/>
    <w:rsid w:val="00882F25"/>
    <w:rsid w:val="00883A3B"/>
    <w:rsid w:val="00883F66"/>
    <w:rsid w:val="008846AC"/>
    <w:rsid w:val="00884B89"/>
    <w:rsid w:val="008855C9"/>
    <w:rsid w:val="008869B3"/>
    <w:rsid w:val="00887B4A"/>
    <w:rsid w:val="008909D0"/>
    <w:rsid w:val="00890CF8"/>
    <w:rsid w:val="00891990"/>
    <w:rsid w:val="008919FB"/>
    <w:rsid w:val="00895706"/>
    <w:rsid w:val="00895F13"/>
    <w:rsid w:val="0089699A"/>
    <w:rsid w:val="00896A82"/>
    <w:rsid w:val="00896E31"/>
    <w:rsid w:val="008A0C99"/>
    <w:rsid w:val="008A0CCE"/>
    <w:rsid w:val="008A22DA"/>
    <w:rsid w:val="008A30D9"/>
    <w:rsid w:val="008A5376"/>
    <w:rsid w:val="008A55B4"/>
    <w:rsid w:val="008A654B"/>
    <w:rsid w:val="008A6C71"/>
    <w:rsid w:val="008A7D17"/>
    <w:rsid w:val="008B078A"/>
    <w:rsid w:val="008B1A15"/>
    <w:rsid w:val="008B380B"/>
    <w:rsid w:val="008B508E"/>
    <w:rsid w:val="008B5978"/>
    <w:rsid w:val="008B5F21"/>
    <w:rsid w:val="008B63DF"/>
    <w:rsid w:val="008B671E"/>
    <w:rsid w:val="008B6F22"/>
    <w:rsid w:val="008B7625"/>
    <w:rsid w:val="008B7641"/>
    <w:rsid w:val="008C0090"/>
    <w:rsid w:val="008C0C68"/>
    <w:rsid w:val="008C1797"/>
    <w:rsid w:val="008C322F"/>
    <w:rsid w:val="008C34A9"/>
    <w:rsid w:val="008C396F"/>
    <w:rsid w:val="008C682E"/>
    <w:rsid w:val="008C6D0C"/>
    <w:rsid w:val="008D0896"/>
    <w:rsid w:val="008D0B5C"/>
    <w:rsid w:val="008D12DA"/>
    <w:rsid w:val="008D13E3"/>
    <w:rsid w:val="008D3132"/>
    <w:rsid w:val="008D4C23"/>
    <w:rsid w:val="008D50F8"/>
    <w:rsid w:val="008D580B"/>
    <w:rsid w:val="008D6D52"/>
    <w:rsid w:val="008D7397"/>
    <w:rsid w:val="008E2C1A"/>
    <w:rsid w:val="008E39BE"/>
    <w:rsid w:val="008E3BB8"/>
    <w:rsid w:val="008E3FA5"/>
    <w:rsid w:val="008E4CDA"/>
    <w:rsid w:val="008E57AA"/>
    <w:rsid w:val="008F0CD3"/>
    <w:rsid w:val="008F15EC"/>
    <w:rsid w:val="008F2256"/>
    <w:rsid w:val="008F24F2"/>
    <w:rsid w:val="008F271B"/>
    <w:rsid w:val="008F2BE8"/>
    <w:rsid w:val="008F2E80"/>
    <w:rsid w:val="008F3CE3"/>
    <w:rsid w:val="008F3D4A"/>
    <w:rsid w:val="008F4EA8"/>
    <w:rsid w:val="008F7DEF"/>
    <w:rsid w:val="008F7F68"/>
    <w:rsid w:val="009005BD"/>
    <w:rsid w:val="00900E4C"/>
    <w:rsid w:val="00903B74"/>
    <w:rsid w:val="0090427D"/>
    <w:rsid w:val="00904EE2"/>
    <w:rsid w:val="009059A5"/>
    <w:rsid w:val="00906E12"/>
    <w:rsid w:val="00907726"/>
    <w:rsid w:val="00907CD1"/>
    <w:rsid w:val="00907DAE"/>
    <w:rsid w:val="00910BF1"/>
    <w:rsid w:val="00912CE0"/>
    <w:rsid w:val="00912E88"/>
    <w:rsid w:val="00913E05"/>
    <w:rsid w:val="009152A1"/>
    <w:rsid w:val="00915A49"/>
    <w:rsid w:val="00917557"/>
    <w:rsid w:val="00917F6E"/>
    <w:rsid w:val="00920002"/>
    <w:rsid w:val="00920440"/>
    <w:rsid w:val="00921577"/>
    <w:rsid w:val="00921592"/>
    <w:rsid w:val="00922688"/>
    <w:rsid w:val="009227C6"/>
    <w:rsid w:val="00924040"/>
    <w:rsid w:val="00925F5C"/>
    <w:rsid w:val="00926574"/>
    <w:rsid w:val="00926D33"/>
    <w:rsid w:val="00927948"/>
    <w:rsid w:val="00927D80"/>
    <w:rsid w:val="00931EAB"/>
    <w:rsid w:val="009321DD"/>
    <w:rsid w:val="009334E8"/>
    <w:rsid w:val="009343BA"/>
    <w:rsid w:val="009344F2"/>
    <w:rsid w:val="00934865"/>
    <w:rsid w:val="00935798"/>
    <w:rsid w:val="009375E2"/>
    <w:rsid w:val="00941024"/>
    <w:rsid w:val="009430AB"/>
    <w:rsid w:val="00943976"/>
    <w:rsid w:val="0094572A"/>
    <w:rsid w:val="009457DD"/>
    <w:rsid w:val="00945979"/>
    <w:rsid w:val="00945F66"/>
    <w:rsid w:val="00946961"/>
    <w:rsid w:val="00946AF4"/>
    <w:rsid w:val="009474A4"/>
    <w:rsid w:val="009476A7"/>
    <w:rsid w:val="00947B0B"/>
    <w:rsid w:val="009502F9"/>
    <w:rsid w:val="00950429"/>
    <w:rsid w:val="00950565"/>
    <w:rsid w:val="00950C75"/>
    <w:rsid w:val="00951DFC"/>
    <w:rsid w:val="00951FA2"/>
    <w:rsid w:val="0095229D"/>
    <w:rsid w:val="00953427"/>
    <w:rsid w:val="0095354C"/>
    <w:rsid w:val="0095392F"/>
    <w:rsid w:val="00954642"/>
    <w:rsid w:val="009559D7"/>
    <w:rsid w:val="00956748"/>
    <w:rsid w:val="00957055"/>
    <w:rsid w:val="00960786"/>
    <w:rsid w:val="00963BD6"/>
    <w:rsid w:val="00966D88"/>
    <w:rsid w:val="00967603"/>
    <w:rsid w:val="00970121"/>
    <w:rsid w:val="00972AB0"/>
    <w:rsid w:val="0097447A"/>
    <w:rsid w:val="009748C9"/>
    <w:rsid w:val="009752AB"/>
    <w:rsid w:val="009753FD"/>
    <w:rsid w:val="009767E8"/>
    <w:rsid w:val="00977206"/>
    <w:rsid w:val="00977932"/>
    <w:rsid w:val="00980719"/>
    <w:rsid w:val="00980757"/>
    <w:rsid w:val="009808A3"/>
    <w:rsid w:val="00980C23"/>
    <w:rsid w:val="00981F3E"/>
    <w:rsid w:val="009821E8"/>
    <w:rsid w:val="00982322"/>
    <w:rsid w:val="0098381F"/>
    <w:rsid w:val="00986464"/>
    <w:rsid w:val="0098648C"/>
    <w:rsid w:val="00986A15"/>
    <w:rsid w:val="00987D18"/>
    <w:rsid w:val="00987F5B"/>
    <w:rsid w:val="0099078E"/>
    <w:rsid w:val="009916A3"/>
    <w:rsid w:val="00991D77"/>
    <w:rsid w:val="0099247D"/>
    <w:rsid w:val="00993421"/>
    <w:rsid w:val="00993504"/>
    <w:rsid w:val="00993A31"/>
    <w:rsid w:val="00995087"/>
    <w:rsid w:val="009956D0"/>
    <w:rsid w:val="00995B35"/>
    <w:rsid w:val="00995FEC"/>
    <w:rsid w:val="00996EB1"/>
    <w:rsid w:val="0099728F"/>
    <w:rsid w:val="00997503"/>
    <w:rsid w:val="009A00FB"/>
    <w:rsid w:val="009A18CC"/>
    <w:rsid w:val="009A247B"/>
    <w:rsid w:val="009A28A8"/>
    <w:rsid w:val="009A3EB7"/>
    <w:rsid w:val="009A6E7D"/>
    <w:rsid w:val="009A7C8B"/>
    <w:rsid w:val="009B0875"/>
    <w:rsid w:val="009B1B5E"/>
    <w:rsid w:val="009B28CC"/>
    <w:rsid w:val="009B2E3D"/>
    <w:rsid w:val="009B3252"/>
    <w:rsid w:val="009B34CE"/>
    <w:rsid w:val="009B69F4"/>
    <w:rsid w:val="009B70AB"/>
    <w:rsid w:val="009B70DF"/>
    <w:rsid w:val="009B7B68"/>
    <w:rsid w:val="009C0371"/>
    <w:rsid w:val="009C0918"/>
    <w:rsid w:val="009C29D9"/>
    <w:rsid w:val="009C43E5"/>
    <w:rsid w:val="009C4D47"/>
    <w:rsid w:val="009C5DD5"/>
    <w:rsid w:val="009C78F9"/>
    <w:rsid w:val="009C7D53"/>
    <w:rsid w:val="009D0A62"/>
    <w:rsid w:val="009D24E9"/>
    <w:rsid w:val="009D2885"/>
    <w:rsid w:val="009D32AF"/>
    <w:rsid w:val="009D357A"/>
    <w:rsid w:val="009D4208"/>
    <w:rsid w:val="009D4DBA"/>
    <w:rsid w:val="009D53FD"/>
    <w:rsid w:val="009D5739"/>
    <w:rsid w:val="009D72EC"/>
    <w:rsid w:val="009D7840"/>
    <w:rsid w:val="009D787B"/>
    <w:rsid w:val="009D7D1D"/>
    <w:rsid w:val="009D7EAE"/>
    <w:rsid w:val="009E0919"/>
    <w:rsid w:val="009E0AB4"/>
    <w:rsid w:val="009E0AC1"/>
    <w:rsid w:val="009E14D5"/>
    <w:rsid w:val="009E19E8"/>
    <w:rsid w:val="009E3587"/>
    <w:rsid w:val="009E6FEC"/>
    <w:rsid w:val="009E7726"/>
    <w:rsid w:val="009F06AC"/>
    <w:rsid w:val="009F1382"/>
    <w:rsid w:val="009F2A57"/>
    <w:rsid w:val="009F3786"/>
    <w:rsid w:val="009F5160"/>
    <w:rsid w:val="009F5ADB"/>
    <w:rsid w:val="009F5EB7"/>
    <w:rsid w:val="009F6A1B"/>
    <w:rsid w:val="009F716E"/>
    <w:rsid w:val="00A0101E"/>
    <w:rsid w:val="00A019AD"/>
    <w:rsid w:val="00A029A1"/>
    <w:rsid w:val="00A02CC0"/>
    <w:rsid w:val="00A02DF9"/>
    <w:rsid w:val="00A0431B"/>
    <w:rsid w:val="00A05037"/>
    <w:rsid w:val="00A06C42"/>
    <w:rsid w:val="00A06EE6"/>
    <w:rsid w:val="00A102B7"/>
    <w:rsid w:val="00A123C7"/>
    <w:rsid w:val="00A13DF2"/>
    <w:rsid w:val="00A156CD"/>
    <w:rsid w:val="00A168FC"/>
    <w:rsid w:val="00A17523"/>
    <w:rsid w:val="00A17FEF"/>
    <w:rsid w:val="00A2011C"/>
    <w:rsid w:val="00A2116B"/>
    <w:rsid w:val="00A215EF"/>
    <w:rsid w:val="00A22F34"/>
    <w:rsid w:val="00A23020"/>
    <w:rsid w:val="00A23068"/>
    <w:rsid w:val="00A23265"/>
    <w:rsid w:val="00A2357F"/>
    <w:rsid w:val="00A23C73"/>
    <w:rsid w:val="00A252E7"/>
    <w:rsid w:val="00A254F7"/>
    <w:rsid w:val="00A256ED"/>
    <w:rsid w:val="00A2651C"/>
    <w:rsid w:val="00A267F4"/>
    <w:rsid w:val="00A27190"/>
    <w:rsid w:val="00A3047B"/>
    <w:rsid w:val="00A30881"/>
    <w:rsid w:val="00A30FA0"/>
    <w:rsid w:val="00A310AF"/>
    <w:rsid w:val="00A31905"/>
    <w:rsid w:val="00A32593"/>
    <w:rsid w:val="00A32BB8"/>
    <w:rsid w:val="00A34BE3"/>
    <w:rsid w:val="00A354D5"/>
    <w:rsid w:val="00A3724A"/>
    <w:rsid w:val="00A376C9"/>
    <w:rsid w:val="00A378A9"/>
    <w:rsid w:val="00A40173"/>
    <w:rsid w:val="00A4381A"/>
    <w:rsid w:val="00A453B4"/>
    <w:rsid w:val="00A46A52"/>
    <w:rsid w:val="00A47FF8"/>
    <w:rsid w:val="00A5193A"/>
    <w:rsid w:val="00A51A4B"/>
    <w:rsid w:val="00A51F9B"/>
    <w:rsid w:val="00A523D2"/>
    <w:rsid w:val="00A52DE6"/>
    <w:rsid w:val="00A535B5"/>
    <w:rsid w:val="00A53DAD"/>
    <w:rsid w:val="00A54430"/>
    <w:rsid w:val="00A544A2"/>
    <w:rsid w:val="00A54DBC"/>
    <w:rsid w:val="00A55900"/>
    <w:rsid w:val="00A55F8C"/>
    <w:rsid w:val="00A56129"/>
    <w:rsid w:val="00A568F8"/>
    <w:rsid w:val="00A56B8B"/>
    <w:rsid w:val="00A5746E"/>
    <w:rsid w:val="00A60775"/>
    <w:rsid w:val="00A61518"/>
    <w:rsid w:val="00A61D58"/>
    <w:rsid w:val="00A61DBD"/>
    <w:rsid w:val="00A61F0F"/>
    <w:rsid w:val="00A64189"/>
    <w:rsid w:val="00A64548"/>
    <w:rsid w:val="00A6482C"/>
    <w:rsid w:val="00A65763"/>
    <w:rsid w:val="00A65D12"/>
    <w:rsid w:val="00A663AF"/>
    <w:rsid w:val="00A67DDF"/>
    <w:rsid w:val="00A67EAC"/>
    <w:rsid w:val="00A67F24"/>
    <w:rsid w:val="00A70F98"/>
    <w:rsid w:val="00A72238"/>
    <w:rsid w:val="00A73287"/>
    <w:rsid w:val="00A75B28"/>
    <w:rsid w:val="00A7724F"/>
    <w:rsid w:val="00A8080A"/>
    <w:rsid w:val="00A80922"/>
    <w:rsid w:val="00A8104A"/>
    <w:rsid w:val="00A84A08"/>
    <w:rsid w:val="00A84E8E"/>
    <w:rsid w:val="00A8543E"/>
    <w:rsid w:val="00A8582A"/>
    <w:rsid w:val="00A86227"/>
    <w:rsid w:val="00A86546"/>
    <w:rsid w:val="00A86C81"/>
    <w:rsid w:val="00A90EF6"/>
    <w:rsid w:val="00A90F13"/>
    <w:rsid w:val="00A91396"/>
    <w:rsid w:val="00A92B70"/>
    <w:rsid w:val="00A93BAB"/>
    <w:rsid w:val="00A9570C"/>
    <w:rsid w:val="00A972F9"/>
    <w:rsid w:val="00AA023C"/>
    <w:rsid w:val="00AA073D"/>
    <w:rsid w:val="00AA0DBE"/>
    <w:rsid w:val="00AA1D89"/>
    <w:rsid w:val="00AA21AF"/>
    <w:rsid w:val="00AA23A0"/>
    <w:rsid w:val="00AA2445"/>
    <w:rsid w:val="00AA2763"/>
    <w:rsid w:val="00AA2BD5"/>
    <w:rsid w:val="00AA35BD"/>
    <w:rsid w:val="00AA3CC4"/>
    <w:rsid w:val="00AA61E5"/>
    <w:rsid w:val="00AA6DDD"/>
    <w:rsid w:val="00AA7976"/>
    <w:rsid w:val="00AB0953"/>
    <w:rsid w:val="00AB2E88"/>
    <w:rsid w:val="00AB362D"/>
    <w:rsid w:val="00AB403B"/>
    <w:rsid w:val="00AB4215"/>
    <w:rsid w:val="00AB7EB2"/>
    <w:rsid w:val="00AC067E"/>
    <w:rsid w:val="00AC0975"/>
    <w:rsid w:val="00AC13C6"/>
    <w:rsid w:val="00AC2922"/>
    <w:rsid w:val="00AC2B67"/>
    <w:rsid w:val="00AC3918"/>
    <w:rsid w:val="00AC5991"/>
    <w:rsid w:val="00AD03BA"/>
    <w:rsid w:val="00AD1637"/>
    <w:rsid w:val="00AD1E20"/>
    <w:rsid w:val="00AD2475"/>
    <w:rsid w:val="00AD398E"/>
    <w:rsid w:val="00AD39A0"/>
    <w:rsid w:val="00AD3B44"/>
    <w:rsid w:val="00AD3D08"/>
    <w:rsid w:val="00AD6B9E"/>
    <w:rsid w:val="00AD6E03"/>
    <w:rsid w:val="00AD7371"/>
    <w:rsid w:val="00AD7940"/>
    <w:rsid w:val="00AE1020"/>
    <w:rsid w:val="00AE2278"/>
    <w:rsid w:val="00AE2FD2"/>
    <w:rsid w:val="00AE3D92"/>
    <w:rsid w:val="00AE3E3B"/>
    <w:rsid w:val="00AE4183"/>
    <w:rsid w:val="00AE47B2"/>
    <w:rsid w:val="00AE5262"/>
    <w:rsid w:val="00AE56D9"/>
    <w:rsid w:val="00AE5891"/>
    <w:rsid w:val="00AE5F65"/>
    <w:rsid w:val="00AE689B"/>
    <w:rsid w:val="00AE7BB9"/>
    <w:rsid w:val="00AF1D59"/>
    <w:rsid w:val="00AF24FA"/>
    <w:rsid w:val="00AF29D7"/>
    <w:rsid w:val="00AF345E"/>
    <w:rsid w:val="00AF38DA"/>
    <w:rsid w:val="00B0080B"/>
    <w:rsid w:val="00B00A0D"/>
    <w:rsid w:val="00B00D79"/>
    <w:rsid w:val="00B015A0"/>
    <w:rsid w:val="00B01B31"/>
    <w:rsid w:val="00B03459"/>
    <w:rsid w:val="00B03FBB"/>
    <w:rsid w:val="00B04CA4"/>
    <w:rsid w:val="00B057F4"/>
    <w:rsid w:val="00B05B26"/>
    <w:rsid w:val="00B05D33"/>
    <w:rsid w:val="00B06308"/>
    <w:rsid w:val="00B07187"/>
    <w:rsid w:val="00B07BAD"/>
    <w:rsid w:val="00B07E5F"/>
    <w:rsid w:val="00B10B37"/>
    <w:rsid w:val="00B122C8"/>
    <w:rsid w:val="00B12789"/>
    <w:rsid w:val="00B12BBB"/>
    <w:rsid w:val="00B12C1E"/>
    <w:rsid w:val="00B147F9"/>
    <w:rsid w:val="00B14C7A"/>
    <w:rsid w:val="00B15877"/>
    <w:rsid w:val="00B15FDA"/>
    <w:rsid w:val="00B17DB2"/>
    <w:rsid w:val="00B23901"/>
    <w:rsid w:val="00B23D26"/>
    <w:rsid w:val="00B2450B"/>
    <w:rsid w:val="00B25390"/>
    <w:rsid w:val="00B26234"/>
    <w:rsid w:val="00B26397"/>
    <w:rsid w:val="00B26C0E"/>
    <w:rsid w:val="00B27785"/>
    <w:rsid w:val="00B30ED4"/>
    <w:rsid w:val="00B329B5"/>
    <w:rsid w:val="00B3356D"/>
    <w:rsid w:val="00B344C0"/>
    <w:rsid w:val="00B349BA"/>
    <w:rsid w:val="00B3532D"/>
    <w:rsid w:val="00B36727"/>
    <w:rsid w:val="00B3778E"/>
    <w:rsid w:val="00B379AB"/>
    <w:rsid w:val="00B40EE1"/>
    <w:rsid w:val="00B41D0C"/>
    <w:rsid w:val="00B43D0E"/>
    <w:rsid w:val="00B46134"/>
    <w:rsid w:val="00B50DDC"/>
    <w:rsid w:val="00B51340"/>
    <w:rsid w:val="00B51B9A"/>
    <w:rsid w:val="00B520BA"/>
    <w:rsid w:val="00B523BB"/>
    <w:rsid w:val="00B52B1E"/>
    <w:rsid w:val="00B5303C"/>
    <w:rsid w:val="00B53398"/>
    <w:rsid w:val="00B53875"/>
    <w:rsid w:val="00B53E75"/>
    <w:rsid w:val="00B54982"/>
    <w:rsid w:val="00B54CE1"/>
    <w:rsid w:val="00B55228"/>
    <w:rsid w:val="00B55377"/>
    <w:rsid w:val="00B55CF4"/>
    <w:rsid w:val="00B56AD0"/>
    <w:rsid w:val="00B56D42"/>
    <w:rsid w:val="00B6126C"/>
    <w:rsid w:val="00B63605"/>
    <w:rsid w:val="00B670E4"/>
    <w:rsid w:val="00B7063B"/>
    <w:rsid w:val="00B7180F"/>
    <w:rsid w:val="00B72427"/>
    <w:rsid w:val="00B72CAA"/>
    <w:rsid w:val="00B72F67"/>
    <w:rsid w:val="00B73960"/>
    <w:rsid w:val="00B739C1"/>
    <w:rsid w:val="00B74214"/>
    <w:rsid w:val="00B7640A"/>
    <w:rsid w:val="00B7647E"/>
    <w:rsid w:val="00B76AB4"/>
    <w:rsid w:val="00B76BF2"/>
    <w:rsid w:val="00B77435"/>
    <w:rsid w:val="00B80091"/>
    <w:rsid w:val="00B80CC9"/>
    <w:rsid w:val="00B8373F"/>
    <w:rsid w:val="00B8454A"/>
    <w:rsid w:val="00B84A3A"/>
    <w:rsid w:val="00B84C93"/>
    <w:rsid w:val="00B865F5"/>
    <w:rsid w:val="00B868C0"/>
    <w:rsid w:val="00B86BE4"/>
    <w:rsid w:val="00B87523"/>
    <w:rsid w:val="00B90F00"/>
    <w:rsid w:val="00B91F23"/>
    <w:rsid w:val="00B9244F"/>
    <w:rsid w:val="00B92ECE"/>
    <w:rsid w:val="00B942E4"/>
    <w:rsid w:val="00B948C4"/>
    <w:rsid w:val="00B9612B"/>
    <w:rsid w:val="00B96368"/>
    <w:rsid w:val="00B968A0"/>
    <w:rsid w:val="00B96AA3"/>
    <w:rsid w:val="00B97AA8"/>
    <w:rsid w:val="00B97E77"/>
    <w:rsid w:val="00BA03CF"/>
    <w:rsid w:val="00BA06C3"/>
    <w:rsid w:val="00BA0BE0"/>
    <w:rsid w:val="00BA1D1F"/>
    <w:rsid w:val="00BA1F3D"/>
    <w:rsid w:val="00BA26E5"/>
    <w:rsid w:val="00BA2BD1"/>
    <w:rsid w:val="00BA3718"/>
    <w:rsid w:val="00BA3C04"/>
    <w:rsid w:val="00BA544E"/>
    <w:rsid w:val="00BA5E97"/>
    <w:rsid w:val="00BA5F56"/>
    <w:rsid w:val="00BA67B4"/>
    <w:rsid w:val="00BA7135"/>
    <w:rsid w:val="00BA7DC9"/>
    <w:rsid w:val="00BA7F06"/>
    <w:rsid w:val="00BB0479"/>
    <w:rsid w:val="00BB0B1C"/>
    <w:rsid w:val="00BB33F7"/>
    <w:rsid w:val="00BB38AA"/>
    <w:rsid w:val="00BB3A2E"/>
    <w:rsid w:val="00BB3ABF"/>
    <w:rsid w:val="00BB4105"/>
    <w:rsid w:val="00BB4916"/>
    <w:rsid w:val="00BB4FB9"/>
    <w:rsid w:val="00BB6990"/>
    <w:rsid w:val="00BB7A69"/>
    <w:rsid w:val="00BC119D"/>
    <w:rsid w:val="00BC1CEF"/>
    <w:rsid w:val="00BC2894"/>
    <w:rsid w:val="00BC29B2"/>
    <w:rsid w:val="00BC40AD"/>
    <w:rsid w:val="00BC49EE"/>
    <w:rsid w:val="00BC4B1B"/>
    <w:rsid w:val="00BC5548"/>
    <w:rsid w:val="00BC5830"/>
    <w:rsid w:val="00BC593F"/>
    <w:rsid w:val="00BC5CBB"/>
    <w:rsid w:val="00BC63FA"/>
    <w:rsid w:val="00BC6618"/>
    <w:rsid w:val="00BC68DC"/>
    <w:rsid w:val="00BC6932"/>
    <w:rsid w:val="00BC6CF5"/>
    <w:rsid w:val="00BD0709"/>
    <w:rsid w:val="00BD091F"/>
    <w:rsid w:val="00BD1E72"/>
    <w:rsid w:val="00BD297E"/>
    <w:rsid w:val="00BD4F38"/>
    <w:rsid w:val="00BD649B"/>
    <w:rsid w:val="00BD798B"/>
    <w:rsid w:val="00BD7C0A"/>
    <w:rsid w:val="00BE23C8"/>
    <w:rsid w:val="00BE4DC7"/>
    <w:rsid w:val="00BE540D"/>
    <w:rsid w:val="00BE5781"/>
    <w:rsid w:val="00BE5813"/>
    <w:rsid w:val="00BE71C8"/>
    <w:rsid w:val="00BE72A4"/>
    <w:rsid w:val="00BE7E50"/>
    <w:rsid w:val="00BE7E74"/>
    <w:rsid w:val="00BF0AA6"/>
    <w:rsid w:val="00BF2DF6"/>
    <w:rsid w:val="00BF3D64"/>
    <w:rsid w:val="00BF3FAB"/>
    <w:rsid w:val="00BF422A"/>
    <w:rsid w:val="00BF5A5F"/>
    <w:rsid w:val="00BF5D27"/>
    <w:rsid w:val="00BF705F"/>
    <w:rsid w:val="00BF70F9"/>
    <w:rsid w:val="00BF7A36"/>
    <w:rsid w:val="00C00084"/>
    <w:rsid w:val="00C00267"/>
    <w:rsid w:val="00C01A06"/>
    <w:rsid w:val="00C0371E"/>
    <w:rsid w:val="00C03CA0"/>
    <w:rsid w:val="00C040CB"/>
    <w:rsid w:val="00C0432E"/>
    <w:rsid w:val="00C10522"/>
    <w:rsid w:val="00C10AE4"/>
    <w:rsid w:val="00C10CE9"/>
    <w:rsid w:val="00C11133"/>
    <w:rsid w:val="00C115F1"/>
    <w:rsid w:val="00C11CCD"/>
    <w:rsid w:val="00C12C6E"/>
    <w:rsid w:val="00C135C7"/>
    <w:rsid w:val="00C13E4E"/>
    <w:rsid w:val="00C14023"/>
    <w:rsid w:val="00C14B1E"/>
    <w:rsid w:val="00C14F1B"/>
    <w:rsid w:val="00C1791D"/>
    <w:rsid w:val="00C21769"/>
    <w:rsid w:val="00C22FFE"/>
    <w:rsid w:val="00C2377F"/>
    <w:rsid w:val="00C23F77"/>
    <w:rsid w:val="00C24C49"/>
    <w:rsid w:val="00C24F0A"/>
    <w:rsid w:val="00C25198"/>
    <w:rsid w:val="00C2699A"/>
    <w:rsid w:val="00C270EF"/>
    <w:rsid w:val="00C271C0"/>
    <w:rsid w:val="00C30E6F"/>
    <w:rsid w:val="00C318D6"/>
    <w:rsid w:val="00C32072"/>
    <w:rsid w:val="00C325D7"/>
    <w:rsid w:val="00C32775"/>
    <w:rsid w:val="00C3296D"/>
    <w:rsid w:val="00C33C29"/>
    <w:rsid w:val="00C3451F"/>
    <w:rsid w:val="00C34619"/>
    <w:rsid w:val="00C34902"/>
    <w:rsid w:val="00C34916"/>
    <w:rsid w:val="00C34EDD"/>
    <w:rsid w:val="00C34F11"/>
    <w:rsid w:val="00C36030"/>
    <w:rsid w:val="00C360E1"/>
    <w:rsid w:val="00C362AA"/>
    <w:rsid w:val="00C36629"/>
    <w:rsid w:val="00C36714"/>
    <w:rsid w:val="00C3697E"/>
    <w:rsid w:val="00C36D61"/>
    <w:rsid w:val="00C3740A"/>
    <w:rsid w:val="00C4170F"/>
    <w:rsid w:val="00C41D69"/>
    <w:rsid w:val="00C41ECE"/>
    <w:rsid w:val="00C4254A"/>
    <w:rsid w:val="00C43B39"/>
    <w:rsid w:val="00C43B5D"/>
    <w:rsid w:val="00C45C5B"/>
    <w:rsid w:val="00C470F7"/>
    <w:rsid w:val="00C47A6B"/>
    <w:rsid w:val="00C504A2"/>
    <w:rsid w:val="00C506E1"/>
    <w:rsid w:val="00C51409"/>
    <w:rsid w:val="00C51DA6"/>
    <w:rsid w:val="00C53E35"/>
    <w:rsid w:val="00C55122"/>
    <w:rsid w:val="00C560B5"/>
    <w:rsid w:val="00C5697F"/>
    <w:rsid w:val="00C57944"/>
    <w:rsid w:val="00C57966"/>
    <w:rsid w:val="00C60242"/>
    <w:rsid w:val="00C624B8"/>
    <w:rsid w:val="00C6500B"/>
    <w:rsid w:val="00C65B61"/>
    <w:rsid w:val="00C66409"/>
    <w:rsid w:val="00C67408"/>
    <w:rsid w:val="00C67DD8"/>
    <w:rsid w:val="00C70E4F"/>
    <w:rsid w:val="00C71AE5"/>
    <w:rsid w:val="00C71DC5"/>
    <w:rsid w:val="00C72B91"/>
    <w:rsid w:val="00C73990"/>
    <w:rsid w:val="00C7502C"/>
    <w:rsid w:val="00C7536B"/>
    <w:rsid w:val="00C75F88"/>
    <w:rsid w:val="00C83910"/>
    <w:rsid w:val="00C85158"/>
    <w:rsid w:val="00C85586"/>
    <w:rsid w:val="00C85BB9"/>
    <w:rsid w:val="00C862AC"/>
    <w:rsid w:val="00C86704"/>
    <w:rsid w:val="00C872F5"/>
    <w:rsid w:val="00C874F9"/>
    <w:rsid w:val="00C87A25"/>
    <w:rsid w:val="00C90B5B"/>
    <w:rsid w:val="00C90D77"/>
    <w:rsid w:val="00C90EF6"/>
    <w:rsid w:val="00C9198A"/>
    <w:rsid w:val="00C9467A"/>
    <w:rsid w:val="00C969DE"/>
    <w:rsid w:val="00C969FA"/>
    <w:rsid w:val="00C96B64"/>
    <w:rsid w:val="00C971B7"/>
    <w:rsid w:val="00C97945"/>
    <w:rsid w:val="00CA0366"/>
    <w:rsid w:val="00CA2D0D"/>
    <w:rsid w:val="00CA479C"/>
    <w:rsid w:val="00CA57D9"/>
    <w:rsid w:val="00CA5C66"/>
    <w:rsid w:val="00CA6438"/>
    <w:rsid w:val="00CA7799"/>
    <w:rsid w:val="00CB0776"/>
    <w:rsid w:val="00CB191C"/>
    <w:rsid w:val="00CB22F6"/>
    <w:rsid w:val="00CB25DD"/>
    <w:rsid w:val="00CB2848"/>
    <w:rsid w:val="00CB4360"/>
    <w:rsid w:val="00CB4540"/>
    <w:rsid w:val="00CB57AF"/>
    <w:rsid w:val="00CB5CA2"/>
    <w:rsid w:val="00CB5CE4"/>
    <w:rsid w:val="00CB616A"/>
    <w:rsid w:val="00CB6D27"/>
    <w:rsid w:val="00CC11A5"/>
    <w:rsid w:val="00CC1B03"/>
    <w:rsid w:val="00CC1CC5"/>
    <w:rsid w:val="00CC1DF2"/>
    <w:rsid w:val="00CC41D9"/>
    <w:rsid w:val="00CC4D2B"/>
    <w:rsid w:val="00CC4E05"/>
    <w:rsid w:val="00CC5169"/>
    <w:rsid w:val="00CC5AFA"/>
    <w:rsid w:val="00CC7377"/>
    <w:rsid w:val="00CC7B7A"/>
    <w:rsid w:val="00CD1E66"/>
    <w:rsid w:val="00CD20B0"/>
    <w:rsid w:val="00CD2731"/>
    <w:rsid w:val="00CD28C6"/>
    <w:rsid w:val="00CD28F1"/>
    <w:rsid w:val="00CD29E1"/>
    <w:rsid w:val="00CD3B2B"/>
    <w:rsid w:val="00CD44DE"/>
    <w:rsid w:val="00CD4668"/>
    <w:rsid w:val="00CD5760"/>
    <w:rsid w:val="00CD63B4"/>
    <w:rsid w:val="00CD64B1"/>
    <w:rsid w:val="00CD66D2"/>
    <w:rsid w:val="00CD73CB"/>
    <w:rsid w:val="00CD7DEB"/>
    <w:rsid w:val="00CE17A3"/>
    <w:rsid w:val="00CE42C5"/>
    <w:rsid w:val="00CE4ACC"/>
    <w:rsid w:val="00CE5B64"/>
    <w:rsid w:val="00CE7310"/>
    <w:rsid w:val="00CF1277"/>
    <w:rsid w:val="00CF1995"/>
    <w:rsid w:val="00CF1EF1"/>
    <w:rsid w:val="00CF5CD6"/>
    <w:rsid w:val="00CF5E33"/>
    <w:rsid w:val="00CF611E"/>
    <w:rsid w:val="00CF6839"/>
    <w:rsid w:val="00D00A5A"/>
    <w:rsid w:val="00D00A63"/>
    <w:rsid w:val="00D03777"/>
    <w:rsid w:val="00D03E27"/>
    <w:rsid w:val="00D04846"/>
    <w:rsid w:val="00D06811"/>
    <w:rsid w:val="00D07861"/>
    <w:rsid w:val="00D103EB"/>
    <w:rsid w:val="00D11AE9"/>
    <w:rsid w:val="00D15CD2"/>
    <w:rsid w:val="00D16097"/>
    <w:rsid w:val="00D16898"/>
    <w:rsid w:val="00D20183"/>
    <w:rsid w:val="00D2081C"/>
    <w:rsid w:val="00D20D6D"/>
    <w:rsid w:val="00D2207F"/>
    <w:rsid w:val="00D24359"/>
    <w:rsid w:val="00D245AB"/>
    <w:rsid w:val="00D24C6D"/>
    <w:rsid w:val="00D24D3B"/>
    <w:rsid w:val="00D25B12"/>
    <w:rsid w:val="00D25D17"/>
    <w:rsid w:val="00D26273"/>
    <w:rsid w:val="00D263C6"/>
    <w:rsid w:val="00D26833"/>
    <w:rsid w:val="00D27DB3"/>
    <w:rsid w:val="00D27FA6"/>
    <w:rsid w:val="00D311CD"/>
    <w:rsid w:val="00D32F5C"/>
    <w:rsid w:val="00D35E56"/>
    <w:rsid w:val="00D417BC"/>
    <w:rsid w:val="00D4244D"/>
    <w:rsid w:val="00D42678"/>
    <w:rsid w:val="00D43B8E"/>
    <w:rsid w:val="00D443D6"/>
    <w:rsid w:val="00D4491C"/>
    <w:rsid w:val="00D45570"/>
    <w:rsid w:val="00D45F00"/>
    <w:rsid w:val="00D45FCA"/>
    <w:rsid w:val="00D46207"/>
    <w:rsid w:val="00D47017"/>
    <w:rsid w:val="00D4738B"/>
    <w:rsid w:val="00D47C66"/>
    <w:rsid w:val="00D51C85"/>
    <w:rsid w:val="00D54618"/>
    <w:rsid w:val="00D548F2"/>
    <w:rsid w:val="00D55060"/>
    <w:rsid w:val="00D55953"/>
    <w:rsid w:val="00D5605A"/>
    <w:rsid w:val="00D56CCF"/>
    <w:rsid w:val="00D57108"/>
    <w:rsid w:val="00D600A6"/>
    <w:rsid w:val="00D62656"/>
    <w:rsid w:val="00D62F1F"/>
    <w:rsid w:val="00D6555A"/>
    <w:rsid w:val="00D674DF"/>
    <w:rsid w:val="00D70875"/>
    <w:rsid w:val="00D71059"/>
    <w:rsid w:val="00D71D12"/>
    <w:rsid w:val="00D72A82"/>
    <w:rsid w:val="00D73D60"/>
    <w:rsid w:val="00D75DB9"/>
    <w:rsid w:val="00D769F9"/>
    <w:rsid w:val="00D77B71"/>
    <w:rsid w:val="00D80C1F"/>
    <w:rsid w:val="00D81935"/>
    <w:rsid w:val="00D81E24"/>
    <w:rsid w:val="00D82CF8"/>
    <w:rsid w:val="00D82D4D"/>
    <w:rsid w:val="00D83086"/>
    <w:rsid w:val="00D83DA8"/>
    <w:rsid w:val="00D84912"/>
    <w:rsid w:val="00D8568E"/>
    <w:rsid w:val="00D85A5C"/>
    <w:rsid w:val="00D85A62"/>
    <w:rsid w:val="00D863FA"/>
    <w:rsid w:val="00D8679D"/>
    <w:rsid w:val="00D875A2"/>
    <w:rsid w:val="00D87E82"/>
    <w:rsid w:val="00D904E7"/>
    <w:rsid w:val="00D91E2F"/>
    <w:rsid w:val="00D921FC"/>
    <w:rsid w:val="00D92C2B"/>
    <w:rsid w:val="00D93BE0"/>
    <w:rsid w:val="00D946D8"/>
    <w:rsid w:val="00D95913"/>
    <w:rsid w:val="00D95DC0"/>
    <w:rsid w:val="00DA0EE6"/>
    <w:rsid w:val="00DA14CB"/>
    <w:rsid w:val="00DA1DDA"/>
    <w:rsid w:val="00DA226E"/>
    <w:rsid w:val="00DA26CA"/>
    <w:rsid w:val="00DA3058"/>
    <w:rsid w:val="00DA3371"/>
    <w:rsid w:val="00DA41A9"/>
    <w:rsid w:val="00DA4371"/>
    <w:rsid w:val="00DA48FA"/>
    <w:rsid w:val="00DA52B1"/>
    <w:rsid w:val="00DA60A7"/>
    <w:rsid w:val="00DA7F77"/>
    <w:rsid w:val="00DB06A7"/>
    <w:rsid w:val="00DB260E"/>
    <w:rsid w:val="00DB3FE9"/>
    <w:rsid w:val="00DB642C"/>
    <w:rsid w:val="00DB71E7"/>
    <w:rsid w:val="00DC0591"/>
    <w:rsid w:val="00DC146C"/>
    <w:rsid w:val="00DC1D53"/>
    <w:rsid w:val="00DC2793"/>
    <w:rsid w:val="00DC31F5"/>
    <w:rsid w:val="00DC3363"/>
    <w:rsid w:val="00DC350C"/>
    <w:rsid w:val="00DC422D"/>
    <w:rsid w:val="00DC56E4"/>
    <w:rsid w:val="00DC582C"/>
    <w:rsid w:val="00DC5BCB"/>
    <w:rsid w:val="00DC6381"/>
    <w:rsid w:val="00DC64AC"/>
    <w:rsid w:val="00DD5328"/>
    <w:rsid w:val="00DD5425"/>
    <w:rsid w:val="00DD6EEA"/>
    <w:rsid w:val="00DD7F64"/>
    <w:rsid w:val="00DE0C32"/>
    <w:rsid w:val="00DE0CE7"/>
    <w:rsid w:val="00DE0F85"/>
    <w:rsid w:val="00DE2B78"/>
    <w:rsid w:val="00DE3A00"/>
    <w:rsid w:val="00DE6587"/>
    <w:rsid w:val="00DF06CD"/>
    <w:rsid w:val="00DF0CBE"/>
    <w:rsid w:val="00DF0F81"/>
    <w:rsid w:val="00DF11F2"/>
    <w:rsid w:val="00DF19E4"/>
    <w:rsid w:val="00DF1F08"/>
    <w:rsid w:val="00DF3B06"/>
    <w:rsid w:val="00DF54FF"/>
    <w:rsid w:val="00DF6B20"/>
    <w:rsid w:val="00DF7F13"/>
    <w:rsid w:val="00E02241"/>
    <w:rsid w:val="00E02AA8"/>
    <w:rsid w:val="00E035C1"/>
    <w:rsid w:val="00E036A8"/>
    <w:rsid w:val="00E036AC"/>
    <w:rsid w:val="00E03F31"/>
    <w:rsid w:val="00E063C2"/>
    <w:rsid w:val="00E06D9E"/>
    <w:rsid w:val="00E07909"/>
    <w:rsid w:val="00E10820"/>
    <w:rsid w:val="00E10D89"/>
    <w:rsid w:val="00E110C5"/>
    <w:rsid w:val="00E11D99"/>
    <w:rsid w:val="00E12AB2"/>
    <w:rsid w:val="00E133C6"/>
    <w:rsid w:val="00E14CC7"/>
    <w:rsid w:val="00E15733"/>
    <w:rsid w:val="00E16024"/>
    <w:rsid w:val="00E17440"/>
    <w:rsid w:val="00E17934"/>
    <w:rsid w:val="00E17D1B"/>
    <w:rsid w:val="00E2117E"/>
    <w:rsid w:val="00E2129A"/>
    <w:rsid w:val="00E222B9"/>
    <w:rsid w:val="00E245DE"/>
    <w:rsid w:val="00E2531E"/>
    <w:rsid w:val="00E2609F"/>
    <w:rsid w:val="00E276AB"/>
    <w:rsid w:val="00E3033F"/>
    <w:rsid w:val="00E30C1B"/>
    <w:rsid w:val="00E33717"/>
    <w:rsid w:val="00E35088"/>
    <w:rsid w:val="00E3608C"/>
    <w:rsid w:val="00E371D3"/>
    <w:rsid w:val="00E37B59"/>
    <w:rsid w:val="00E412A0"/>
    <w:rsid w:val="00E41816"/>
    <w:rsid w:val="00E42311"/>
    <w:rsid w:val="00E46327"/>
    <w:rsid w:val="00E47862"/>
    <w:rsid w:val="00E50547"/>
    <w:rsid w:val="00E50C90"/>
    <w:rsid w:val="00E515DC"/>
    <w:rsid w:val="00E5355E"/>
    <w:rsid w:val="00E54EB5"/>
    <w:rsid w:val="00E5519B"/>
    <w:rsid w:val="00E56DD5"/>
    <w:rsid w:val="00E57F66"/>
    <w:rsid w:val="00E60A9F"/>
    <w:rsid w:val="00E60BBD"/>
    <w:rsid w:val="00E62929"/>
    <w:rsid w:val="00E62C6C"/>
    <w:rsid w:val="00E63ABF"/>
    <w:rsid w:val="00E642B7"/>
    <w:rsid w:val="00E65BEC"/>
    <w:rsid w:val="00E6627E"/>
    <w:rsid w:val="00E6736D"/>
    <w:rsid w:val="00E67820"/>
    <w:rsid w:val="00E701D2"/>
    <w:rsid w:val="00E722B5"/>
    <w:rsid w:val="00E73474"/>
    <w:rsid w:val="00E735F7"/>
    <w:rsid w:val="00E7449D"/>
    <w:rsid w:val="00E74672"/>
    <w:rsid w:val="00E74AEC"/>
    <w:rsid w:val="00E755EC"/>
    <w:rsid w:val="00E75C7C"/>
    <w:rsid w:val="00E761C0"/>
    <w:rsid w:val="00E7621D"/>
    <w:rsid w:val="00E772C0"/>
    <w:rsid w:val="00E77663"/>
    <w:rsid w:val="00E81CBC"/>
    <w:rsid w:val="00E823BC"/>
    <w:rsid w:val="00E826BA"/>
    <w:rsid w:val="00E8426E"/>
    <w:rsid w:val="00E84BE4"/>
    <w:rsid w:val="00E87070"/>
    <w:rsid w:val="00E87AD0"/>
    <w:rsid w:val="00E91951"/>
    <w:rsid w:val="00E91B6D"/>
    <w:rsid w:val="00E9222F"/>
    <w:rsid w:val="00E92980"/>
    <w:rsid w:val="00E93446"/>
    <w:rsid w:val="00E93E7D"/>
    <w:rsid w:val="00E960A2"/>
    <w:rsid w:val="00E969FA"/>
    <w:rsid w:val="00E976B6"/>
    <w:rsid w:val="00EA0B7A"/>
    <w:rsid w:val="00EA0F77"/>
    <w:rsid w:val="00EA182D"/>
    <w:rsid w:val="00EA1EF7"/>
    <w:rsid w:val="00EA3FBD"/>
    <w:rsid w:val="00EA4042"/>
    <w:rsid w:val="00EA57BB"/>
    <w:rsid w:val="00EA75AF"/>
    <w:rsid w:val="00EB1CBF"/>
    <w:rsid w:val="00EB1D29"/>
    <w:rsid w:val="00EB3A39"/>
    <w:rsid w:val="00EB4820"/>
    <w:rsid w:val="00EB518D"/>
    <w:rsid w:val="00EB5A97"/>
    <w:rsid w:val="00EB5D78"/>
    <w:rsid w:val="00EB65D2"/>
    <w:rsid w:val="00EB7551"/>
    <w:rsid w:val="00EB7D4D"/>
    <w:rsid w:val="00EC1E38"/>
    <w:rsid w:val="00EC2F3C"/>
    <w:rsid w:val="00EC6312"/>
    <w:rsid w:val="00EC6AF8"/>
    <w:rsid w:val="00EC7D06"/>
    <w:rsid w:val="00ED016C"/>
    <w:rsid w:val="00ED0729"/>
    <w:rsid w:val="00ED08C7"/>
    <w:rsid w:val="00ED0ADA"/>
    <w:rsid w:val="00ED17C4"/>
    <w:rsid w:val="00ED1CCC"/>
    <w:rsid w:val="00ED2031"/>
    <w:rsid w:val="00ED2220"/>
    <w:rsid w:val="00ED3208"/>
    <w:rsid w:val="00ED4BDA"/>
    <w:rsid w:val="00ED7669"/>
    <w:rsid w:val="00EE1226"/>
    <w:rsid w:val="00EE39DE"/>
    <w:rsid w:val="00EE614D"/>
    <w:rsid w:val="00EE63D5"/>
    <w:rsid w:val="00EE6939"/>
    <w:rsid w:val="00EE7B89"/>
    <w:rsid w:val="00EE7BB9"/>
    <w:rsid w:val="00EF09F2"/>
    <w:rsid w:val="00EF1416"/>
    <w:rsid w:val="00EF1E1D"/>
    <w:rsid w:val="00EF234A"/>
    <w:rsid w:val="00EF4D2D"/>
    <w:rsid w:val="00EF5DA9"/>
    <w:rsid w:val="00EF61EB"/>
    <w:rsid w:val="00EF6A7A"/>
    <w:rsid w:val="00EF739C"/>
    <w:rsid w:val="00EF766E"/>
    <w:rsid w:val="00EF7723"/>
    <w:rsid w:val="00F006B7"/>
    <w:rsid w:val="00F0175D"/>
    <w:rsid w:val="00F02234"/>
    <w:rsid w:val="00F03717"/>
    <w:rsid w:val="00F03C9D"/>
    <w:rsid w:val="00F03D0C"/>
    <w:rsid w:val="00F05094"/>
    <w:rsid w:val="00F0549C"/>
    <w:rsid w:val="00F0708B"/>
    <w:rsid w:val="00F07846"/>
    <w:rsid w:val="00F07B3E"/>
    <w:rsid w:val="00F10145"/>
    <w:rsid w:val="00F10D23"/>
    <w:rsid w:val="00F1150C"/>
    <w:rsid w:val="00F115B7"/>
    <w:rsid w:val="00F11F91"/>
    <w:rsid w:val="00F139C1"/>
    <w:rsid w:val="00F14339"/>
    <w:rsid w:val="00F157B1"/>
    <w:rsid w:val="00F16EA9"/>
    <w:rsid w:val="00F2038C"/>
    <w:rsid w:val="00F21E1D"/>
    <w:rsid w:val="00F2294F"/>
    <w:rsid w:val="00F22AA7"/>
    <w:rsid w:val="00F23E0B"/>
    <w:rsid w:val="00F25EDE"/>
    <w:rsid w:val="00F307D2"/>
    <w:rsid w:val="00F3146D"/>
    <w:rsid w:val="00F316C3"/>
    <w:rsid w:val="00F31F72"/>
    <w:rsid w:val="00F32358"/>
    <w:rsid w:val="00F32590"/>
    <w:rsid w:val="00F371EE"/>
    <w:rsid w:val="00F41548"/>
    <w:rsid w:val="00F41802"/>
    <w:rsid w:val="00F42B37"/>
    <w:rsid w:val="00F436AD"/>
    <w:rsid w:val="00F436B2"/>
    <w:rsid w:val="00F44A2E"/>
    <w:rsid w:val="00F44B55"/>
    <w:rsid w:val="00F46AFD"/>
    <w:rsid w:val="00F47470"/>
    <w:rsid w:val="00F50817"/>
    <w:rsid w:val="00F52CAA"/>
    <w:rsid w:val="00F53B7F"/>
    <w:rsid w:val="00F54D03"/>
    <w:rsid w:val="00F55744"/>
    <w:rsid w:val="00F557D3"/>
    <w:rsid w:val="00F56091"/>
    <w:rsid w:val="00F5628E"/>
    <w:rsid w:val="00F56D52"/>
    <w:rsid w:val="00F57029"/>
    <w:rsid w:val="00F574F9"/>
    <w:rsid w:val="00F577E5"/>
    <w:rsid w:val="00F57968"/>
    <w:rsid w:val="00F60600"/>
    <w:rsid w:val="00F6102E"/>
    <w:rsid w:val="00F62658"/>
    <w:rsid w:val="00F629CB"/>
    <w:rsid w:val="00F62F9C"/>
    <w:rsid w:val="00F6385D"/>
    <w:rsid w:val="00F6551D"/>
    <w:rsid w:val="00F661DA"/>
    <w:rsid w:val="00F66F4B"/>
    <w:rsid w:val="00F7203F"/>
    <w:rsid w:val="00F72481"/>
    <w:rsid w:val="00F72746"/>
    <w:rsid w:val="00F72EAD"/>
    <w:rsid w:val="00F73295"/>
    <w:rsid w:val="00F73F4C"/>
    <w:rsid w:val="00F743CD"/>
    <w:rsid w:val="00F746B0"/>
    <w:rsid w:val="00F74C7F"/>
    <w:rsid w:val="00F75A6C"/>
    <w:rsid w:val="00F773B4"/>
    <w:rsid w:val="00F77B13"/>
    <w:rsid w:val="00F809EB"/>
    <w:rsid w:val="00F81DD7"/>
    <w:rsid w:val="00F81E8C"/>
    <w:rsid w:val="00F824C0"/>
    <w:rsid w:val="00F830EF"/>
    <w:rsid w:val="00F83AB7"/>
    <w:rsid w:val="00F8484E"/>
    <w:rsid w:val="00F8492B"/>
    <w:rsid w:val="00F85FC8"/>
    <w:rsid w:val="00F872D6"/>
    <w:rsid w:val="00F87A22"/>
    <w:rsid w:val="00F905BB"/>
    <w:rsid w:val="00F908CA"/>
    <w:rsid w:val="00F919AF"/>
    <w:rsid w:val="00F934C5"/>
    <w:rsid w:val="00F934CB"/>
    <w:rsid w:val="00F93561"/>
    <w:rsid w:val="00F94125"/>
    <w:rsid w:val="00F94E67"/>
    <w:rsid w:val="00F955C4"/>
    <w:rsid w:val="00F95CC5"/>
    <w:rsid w:val="00F96A0E"/>
    <w:rsid w:val="00F97190"/>
    <w:rsid w:val="00FA029A"/>
    <w:rsid w:val="00FA222B"/>
    <w:rsid w:val="00FA430F"/>
    <w:rsid w:val="00FA7D8C"/>
    <w:rsid w:val="00FB06A7"/>
    <w:rsid w:val="00FB0741"/>
    <w:rsid w:val="00FB0D25"/>
    <w:rsid w:val="00FB1E47"/>
    <w:rsid w:val="00FB2372"/>
    <w:rsid w:val="00FB2377"/>
    <w:rsid w:val="00FB2584"/>
    <w:rsid w:val="00FB2D02"/>
    <w:rsid w:val="00FB3099"/>
    <w:rsid w:val="00FB4503"/>
    <w:rsid w:val="00FB49E5"/>
    <w:rsid w:val="00FB5109"/>
    <w:rsid w:val="00FB5449"/>
    <w:rsid w:val="00FB5750"/>
    <w:rsid w:val="00FB5B9C"/>
    <w:rsid w:val="00FB78D5"/>
    <w:rsid w:val="00FB7A46"/>
    <w:rsid w:val="00FB7FD9"/>
    <w:rsid w:val="00FC0B11"/>
    <w:rsid w:val="00FC3375"/>
    <w:rsid w:val="00FC4446"/>
    <w:rsid w:val="00FC586A"/>
    <w:rsid w:val="00FC5D4D"/>
    <w:rsid w:val="00FC74FA"/>
    <w:rsid w:val="00FD11DC"/>
    <w:rsid w:val="00FD125F"/>
    <w:rsid w:val="00FD3302"/>
    <w:rsid w:val="00FD339A"/>
    <w:rsid w:val="00FD52AD"/>
    <w:rsid w:val="00FD60B3"/>
    <w:rsid w:val="00FD79CE"/>
    <w:rsid w:val="00FE032A"/>
    <w:rsid w:val="00FE040F"/>
    <w:rsid w:val="00FE2420"/>
    <w:rsid w:val="00FE2A82"/>
    <w:rsid w:val="00FE31AC"/>
    <w:rsid w:val="00FE3456"/>
    <w:rsid w:val="00FE3A54"/>
    <w:rsid w:val="00FE429A"/>
    <w:rsid w:val="00FE4913"/>
    <w:rsid w:val="00FE5415"/>
    <w:rsid w:val="00FE57D0"/>
    <w:rsid w:val="00FE5DD6"/>
    <w:rsid w:val="00FE5FA8"/>
    <w:rsid w:val="00FE6FE6"/>
    <w:rsid w:val="00FF0CE2"/>
    <w:rsid w:val="00FF1030"/>
    <w:rsid w:val="00FF106E"/>
    <w:rsid w:val="00FF22D1"/>
    <w:rsid w:val="00FF35B0"/>
    <w:rsid w:val="00FF3A7D"/>
    <w:rsid w:val="00FF47BC"/>
    <w:rsid w:val="00FF4FFB"/>
    <w:rsid w:val="00FF532E"/>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C66D-7268-4B38-8086-F2D4E8C0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8D"/>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24288D"/>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24288D"/>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24288D"/>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88D"/>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24288D"/>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4288D"/>
    <w:rPr>
      <w:rFonts w:ascii="Times New Roman" w:eastAsia="Times New Roman" w:hAnsi="Times New Roman" w:cs="Times New Roman"/>
      <w:sz w:val="24"/>
      <w:szCs w:val="20"/>
      <w:lang w:val="en-GB"/>
    </w:rPr>
  </w:style>
  <w:style w:type="paragraph" w:customStyle="1" w:styleId="Titleofthepaper">
    <w:name w:val="Title of the paper"/>
    <w:rsid w:val="0024288D"/>
    <w:pPr>
      <w:spacing w:after="0" w:line="240" w:lineRule="auto"/>
      <w:jc w:val="center"/>
    </w:pPr>
    <w:rPr>
      <w:rFonts w:ascii="Arial" w:eastAsia="Times New Roman" w:hAnsi="Arial" w:cs="Times New Roman"/>
      <w:b/>
      <w:noProof/>
      <w:sz w:val="28"/>
      <w:szCs w:val="20"/>
    </w:rPr>
  </w:style>
  <w:style w:type="paragraph" w:customStyle="1" w:styleId="Authorname">
    <w:name w:val="Author name"/>
    <w:rsid w:val="0024288D"/>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24288D"/>
    <w:pPr>
      <w:spacing w:after="0" w:line="240" w:lineRule="auto"/>
      <w:jc w:val="center"/>
    </w:pPr>
    <w:rPr>
      <w:rFonts w:ascii="Times New Roman" w:eastAsia="Times New Roman" w:hAnsi="Times New Roman" w:cs="Times New Roman"/>
      <w:noProof/>
      <w:sz w:val="24"/>
      <w:szCs w:val="20"/>
    </w:rPr>
  </w:style>
  <w:style w:type="paragraph" w:customStyle="1" w:styleId="HeaderAbs">
    <w:name w:val="Header (Abs."/>
    <w:aliases w:val="Ref.,Ack.)"/>
    <w:basedOn w:val="Heading1"/>
    <w:rsid w:val="0024288D"/>
    <w:pPr>
      <w:numPr>
        <w:numId w:val="0"/>
      </w:numPr>
    </w:pPr>
    <w:rPr>
      <w:noProof w:val="0"/>
    </w:rPr>
  </w:style>
  <w:style w:type="character" w:styleId="Hyperlink">
    <w:name w:val="Hyperlink"/>
    <w:basedOn w:val="DefaultParagraphFont"/>
    <w:rsid w:val="0024288D"/>
    <w:rPr>
      <w:color w:val="0000FF"/>
      <w:u w:val="single"/>
    </w:rPr>
  </w:style>
  <w:style w:type="paragraph" w:customStyle="1" w:styleId="Equation">
    <w:name w:val="Equation"/>
    <w:basedOn w:val="Normal"/>
    <w:next w:val="Normal"/>
    <w:rsid w:val="0024288D"/>
    <w:pPr>
      <w:spacing w:before="120" w:after="120" w:line="260" w:lineRule="atLeast"/>
      <w:ind w:firstLine="0"/>
    </w:pPr>
    <w:rPr>
      <w:sz w:val="22"/>
    </w:rPr>
  </w:style>
  <w:style w:type="paragraph" w:customStyle="1" w:styleId="FigureCaption">
    <w:name w:val="Figure_Caption"/>
    <w:basedOn w:val="Normal"/>
    <w:rsid w:val="0024288D"/>
    <w:pPr>
      <w:spacing w:before="120" w:after="120"/>
      <w:ind w:firstLine="0"/>
      <w:jc w:val="center"/>
    </w:pPr>
    <w:rPr>
      <w:iCs/>
      <w:sz w:val="20"/>
      <w:szCs w:val="24"/>
    </w:rPr>
  </w:style>
  <w:style w:type="paragraph" w:customStyle="1" w:styleId="TableCaption">
    <w:name w:val="Table_Caption"/>
    <w:basedOn w:val="Normal"/>
    <w:rsid w:val="0024288D"/>
    <w:pPr>
      <w:keepNext/>
      <w:spacing w:before="240" w:after="120"/>
      <w:ind w:firstLine="0"/>
      <w:jc w:val="center"/>
    </w:pPr>
    <w:rPr>
      <w:sz w:val="20"/>
      <w:szCs w:val="24"/>
    </w:rPr>
  </w:style>
  <w:style w:type="character" w:customStyle="1" w:styleId="FootnoteTextChar">
    <w:name w:val="Footnote Text Char"/>
    <w:aliases w:val="Char Char, Char Char"/>
    <w:basedOn w:val="DefaultParagraphFont"/>
    <w:link w:val="FootnoteText"/>
    <w:rsid w:val="0024288D"/>
    <w:rPr>
      <w:sz w:val="24"/>
      <w:lang w:val="en-US" w:eastAsia="en-US" w:bidi="ar-SA"/>
    </w:rPr>
  </w:style>
  <w:style w:type="table" w:styleId="TableGrid">
    <w:name w:val="Table Grid"/>
    <w:basedOn w:val="TableNormal"/>
    <w:uiPriority w:val="59"/>
    <w:rsid w:val="0024288D"/>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rsid w:val="0024288D"/>
    <w:pPr>
      <w:ind w:firstLine="0"/>
      <w:jc w:val="left"/>
    </w:pPr>
    <w:rPr>
      <w:rFonts w:ascii="Arial" w:hAnsi="Arial"/>
      <w:lang w:eastAsia="fi-FI"/>
    </w:rPr>
  </w:style>
  <w:style w:type="paragraph" w:customStyle="1" w:styleId="abstracttext">
    <w:name w:val="abstract text"/>
    <w:basedOn w:val="Normal"/>
    <w:rsid w:val="0024288D"/>
    <w:pPr>
      <w:ind w:firstLine="0"/>
    </w:pPr>
    <w:rPr>
      <w:rFonts w:ascii="Arial" w:hAnsi="Arial"/>
      <w:b/>
      <w:lang w:eastAsia="fi-FI"/>
    </w:rPr>
  </w:style>
  <w:style w:type="paragraph" w:styleId="BalloonText">
    <w:name w:val="Balloon Text"/>
    <w:basedOn w:val="Normal"/>
    <w:link w:val="BalloonTextChar"/>
    <w:uiPriority w:val="99"/>
    <w:semiHidden/>
    <w:unhideWhenUsed/>
    <w:rsid w:val="0024288D"/>
    <w:rPr>
      <w:rFonts w:ascii="Tahoma" w:hAnsi="Tahoma" w:cs="Tahoma"/>
      <w:sz w:val="16"/>
      <w:szCs w:val="16"/>
    </w:rPr>
  </w:style>
  <w:style w:type="character" w:customStyle="1" w:styleId="BalloonTextChar">
    <w:name w:val="Balloon Text Char"/>
    <w:basedOn w:val="DefaultParagraphFont"/>
    <w:link w:val="BalloonText"/>
    <w:uiPriority w:val="99"/>
    <w:semiHidden/>
    <w:rsid w:val="0024288D"/>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C67408"/>
    <w:pPr>
      <w:tabs>
        <w:tab w:val="center" w:pos="4680"/>
        <w:tab w:val="right" w:pos="9360"/>
      </w:tabs>
    </w:pPr>
  </w:style>
  <w:style w:type="character" w:customStyle="1" w:styleId="HeaderChar">
    <w:name w:val="Header Char"/>
    <w:basedOn w:val="DefaultParagraphFont"/>
    <w:link w:val="Header"/>
    <w:uiPriority w:val="99"/>
    <w:semiHidden/>
    <w:rsid w:val="00C6740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67408"/>
    <w:pPr>
      <w:tabs>
        <w:tab w:val="center" w:pos="4680"/>
        <w:tab w:val="right" w:pos="9360"/>
      </w:tabs>
    </w:pPr>
  </w:style>
  <w:style w:type="character" w:customStyle="1" w:styleId="FooterChar">
    <w:name w:val="Footer Char"/>
    <w:basedOn w:val="DefaultParagraphFont"/>
    <w:link w:val="Footer"/>
    <w:uiPriority w:val="99"/>
    <w:rsid w:val="00C67408"/>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7733E8"/>
    <w:rPr>
      <w:b/>
      <w:bCs/>
    </w:rPr>
  </w:style>
  <w:style w:type="character" w:customStyle="1" w:styleId="apple-converted-space">
    <w:name w:val="apple-converted-space"/>
    <w:basedOn w:val="DefaultParagraphFont"/>
    <w:rsid w:val="007733E8"/>
  </w:style>
  <w:style w:type="character" w:styleId="Emphasis">
    <w:name w:val="Emphasis"/>
    <w:basedOn w:val="DefaultParagraphFont"/>
    <w:uiPriority w:val="20"/>
    <w:qFormat/>
    <w:rsid w:val="002625A9"/>
    <w:rPr>
      <w:i/>
      <w:iCs/>
    </w:rPr>
  </w:style>
  <w:style w:type="paragraph" w:styleId="NoSpacing">
    <w:name w:val="No Spacing"/>
    <w:uiPriority w:val="1"/>
    <w:qFormat/>
    <w:rsid w:val="002625A9"/>
    <w:pPr>
      <w:spacing w:after="0" w:line="240" w:lineRule="auto"/>
    </w:pPr>
    <w:rPr>
      <w:rFonts w:eastAsiaTheme="minorEastAsia"/>
    </w:rPr>
  </w:style>
  <w:style w:type="paragraph" w:styleId="NormalWeb">
    <w:name w:val="Normal (Web)"/>
    <w:basedOn w:val="Normal"/>
    <w:uiPriority w:val="99"/>
    <w:rsid w:val="00C040CB"/>
    <w:pPr>
      <w:spacing w:before="100" w:beforeAutospacing="1" w:after="100" w:afterAutospacing="1"/>
      <w:ind w:firstLine="0"/>
      <w:jc w:val="left"/>
    </w:pPr>
    <w:rPr>
      <w:szCs w:val="24"/>
      <w:lang w:val="en-US"/>
    </w:rPr>
  </w:style>
  <w:style w:type="paragraph" w:styleId="ListParagraph">
    <w:name w:val="List Paragraph"/>
    <w:basedOn w:val="Normal"/>
    <w:qFormat/>
    <w:rsid w:val="00C040CB"/>
    <w:pPr>
      <w:ind w:left="720" w:firstLine="0"/>
      <w:jc w:val="left"/>
    </w:pPr>
    <w:rPr>
      <w:szCs w:val="24"/>
      <w:lang w:val="en-US"/>
    </w:rPr>
  </w:style>
  <w:style w:type="paragraph" w:styleId="FootnoteText">
    <w:name w:val="footnote text"/>
    <w:aliases w:val="Char, Char"/>
    <w:basedOn w:val="Normal"/>
    <w:link w:val="FootnoteTextChar"/>
    <w:unhideWhenUsed/>
    <w:rsid w:val="00B26397"/>
    <w:pPr>
      <w:ind w:firstLine="0"/>
      <w:jc w:val="left"/>
    </w:pPr>
    <w:rPr>
      <w:rFonts w:asciiTheme="minorHAnsi" w:eastAsiaTheme="minorHAnsi" w:hAnsiTheme="minorHAnsi" w:cstheme="minorBidi"/>
      <w:szCs w:val="22"/>
      <w:lang w:val="en-US"/>
    </w:rPr>
  </w:style>
  <w:style w:type="character" w:customStyle="1" w:styleId="FootnoteTextChar1">
    <w:name w:val="Footnote Text Char1"/>
    <w:basedOn w:val="DefaultParagraphFont"/>
    <w:uiPriority w:val="99"/>
    <w:semiHidden/>
    <w:rsid w:val="00B2639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bancretpiliang@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5A59-71AB-4863-B2F5-DBA7A467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6837</Words>
  <Characters>38976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AN-FIS</dc:creator>
  <cp:lastModifiedBy>hanafi</cp:lastModifiedBy>
  <cp:revision>2</cp:revision>
  <dcterms:created xsi:type="dcterms:W3CDTF">2015-08-16T01:58:00Z</dcterms:created>
  <dcterms:modified xsi:type="dcterms:W3CDTF">2015-08-16T01:58:00Z</dcterms:modified>
</cp:coreProperties>
</file>