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A8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174BD">
        <w:rPr>
          <w:rFonts w:asciiTheme="majorBidi" w:hAnsiTheme="majorBidi" w:cstheme="majorBidi"/>
          <w:b/>
          <w:bCs/>
          <w:sz w:val="24"/>
          <w:szCs w:val="24"/>
        </w:rPr>
        <w:t>PENENTUAN KOEFISIEN TRANSFER MASSA DAN DIFFUSI</w:t>
      </w:r>
      <w:r w:rsidRPr="00A174BD">
        <w:rPr>
          <w:rFonts w:asciiTheme="majorBidi" w:hAnsiTheme="majorBidi" w:cstheme="majorBidi"/>
          <w:b/>
          <w:bCs/>
          <w:sz w:val="24"/>
          <w:szCs w:val="24"/>
          <w:lang w:val="en-US"/>
        </w:rPr>
        <w:t>V</w:t>
      </w:r>
      <w:r w:rsidRPr="00A174BD">
        <w:rPr>
          <w:rFonts w:asciiTheme="majorBidi" w:hAnsiTheme="majorBidi" w:cstheme="majorBidi"/>
          <w:b/>
          <w:bCs/>
          <w:sz w:val="24"/>
          <w:szCs w:val="24"/>
        </w:rPr>
        <w:t xml:space="preserve">ITAS AKSIAL ZIRKONIUM PADA PROSES ADSORPSI </w:t>
      </w:r>
    </w:p>
    <w:p w:rsidR="00B92BA8" w:rsidRPr="00351A56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174BD">
        <w:rPr>
          <w:rFonts w:asciiTheme="majorBidi" w:hAnsiTheme="majorBidi" w:cstheme="majorBidi"/>
          <w:b/>
          <w:bCs/>
          <w:sz w:val="24"/>
          <w:szCs w:val="24"/>
        </w:rPr>
        <w:t>SECARA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b/>
          <w:bCs/>
          <w:i/>
          <w:iCs/>
          <w:sz w:val="24"/>
          <w:szCs w:val="24"/>
        </w:rPr>
        <w:t>FIXED BED</w:t>
      </w: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  <w:lang w:val="en-US"/>
        </w:rPr>
        <w:t>Oleh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Komarudin</w:t>
      </w:r>
      <w:proofErr w:type="spellEnd"/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174BD">
        <w:rPr>
          <w:rFonts w:asciiTheme="majorBidi" w:hAnsiTheme="majorBidi" w:cstheme="majorBidi"/>
          <w:sz w:val="24"/>
          <w:szCs w:val="24"/>
          <w:lang w:val="en-US"/>
        </w:rPr>
        <w:t>07307141013</w:t>
      </w: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Pembimbing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 :</w:t>
      </w:r>
      <w:proofErr w:type="gram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Ir.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Moch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Setyadji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>, M.T</w:t>
      </w: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Pembimbing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  <w:lang w:val="en-US"/>
        </w:rPr>
        <w:t>Pendamping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Endang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Dwi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Siswani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M.T</w:t>
      </w:r>
    </w:p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7938"/>
      </w:tblGrid>
      <w:tr w:rsidR="00B92BA8" w:rsidRPr="00A174BD" w:rsidTr="00297794">
        <w:tc>
          <w:tcPr>
            <w:tcW w:w="7938" w:type="dxa"/>
          </w:tcPr>
          <w:p w:rsidR="00B92BA8" w:rsidRPr="00A174BD" w:rsidRDefault="00B92BA8" w:rsidP="00297794">
            <w:pPr>
              <w:tabs>
                <w:tab w:val="right" w:leader="dot" w:pos="7371"/>
                <w:tab w:val="right" w:pos="793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92BA8" w:rsidRPr="00A174BD" w:rsidRDefault="00B92BA8" w:rsidP="00297794">
            <w:pPr>
              <w:tabs>
                <w:tab w:val="right" w:leader="dot" w:pos="7371"/>
                <w:tab w:val="right" w:pos="793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174B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ABSTRAK</w:t>
            </w:r>
          </w:p>
          <w:p w:rsidR="00B92BA8" w:rsidRPr="00A174BD" w:rsidRDefault="00B92BA8" w:rsidP="00297794">
            <w:pPr>
              <w:tabs>
                <w:tab w:val="right" w:leader="dot" w:pos="7371"/>
                <w:tab w:val="right" w:pos="793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92BA8" w:rsidRPr="00A174BD" w:rsidRDefault="00B92BA8" w:rsidP="00B92BA8">
      <w:pPr>
        <w:tabs>
          <w:tab w:val="right" w:leader="dot" w:pos="7371"/>
          <w:tab w:val="right" w:pos="7938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92BA8" w:rsidRPr="00A174BD" w:rsidRDefault="00B92BA8" w:rsidP="00B92BA8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bertujuan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koefisien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ransfer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massa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Kca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diffusiv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itas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aksial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Dz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proses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adsorpsi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i/>
          <w:iCs/>
          <w:sz w:val="24"/>
          <w:szCs w:val="24"/>
          <w:lang w:val="en-US"/>
        </w:rPr>
        <w:t>fixed bed.</w:t>
      </w:r>
      <w:r w:rsidRPr="00A174BD">
        <w:rPr>
          <w:rFonts w:asciiTheme="majorBidi" w:hAnsiTheme="majorBidi" w:cstheme="majorBidi"/>
          <w:color w:val="000000"/>
          <w:sz w:val="24"/>
          <w:szCs w:val="24"/>
          <w:lang w:val="sv-SE"/>
        </w:rPr>
        <w:t xml:space="preserve"> Selain itu penelitian ini bertujuan untuk memperoleh model matematis </w:t>
      </w:r>
      <w:r w:rsidRPr="00A174BD">
        <w:rPr>
          <w:rFonts w:asciiTheme="majorBidi" w:hAnsiTheme="majorBidi" w:cstheme="majorBidi"/>
          <w:sz w:val="24"/>
          <w:szCs w:val="24"/>
          <w:lang w:val="sv-SE"/>
        </w:rPr>
        <w:t xml:space="preserve">Zirkonium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proses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92BA8" w:rsidRPr="00A174BD" w:rsidRDefault="00B92BA8" w:rsidP="00B92BA8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Subjek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kadar Zirkonium hasil proses adsorpsi </w:t>
      </w:r>
      <w:r w:rsidRPr="00A174BD">
        <w:rPr>
          <w:rFonts w:asciiTheme="majorBidi" w:hAnsiTheme="majorBidi" w:cstheme="majorBidi"/>
          <w:spacing w:val="2"/>
          <w:sz w:val="24"/>
          <w:szCs w:val="24"/>
          <w:lang w:val="en-US"/>
        </w:rPr>
        <w:t>,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koefisien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transfer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massa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Kca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diff</w:t>
      </w:r>
      <w:r>
        <w:rPr>
          <w:rFonts w:asciiTheme="majorBidi" w:hAnsiTheme="majorBidi" w:cstheme="majorBidi"/>
          <w:sz w:val="24"/>
          <w:szCs w:val="24"/>
          <w:lang w:val="en-US"/>
        </w:rPr>
        <w:t>usiv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itas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aksial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Dz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  <w:lang w:val="sv-SE"/>
        </w:rPr>
        <w:t xml:space="preserve">kecepatan alir yang digunakan sebesar </w:t>
      </w:r>
      <w:r w:rsidRPr="00A174BD">
        <w:rPr>
          <w:rFonts w:asciiTheme="majorBidi" w:hAnsiTheme="majorBidi" w:cstheme="majorBidi"/>
          <w:sz w:val="24"/>
          <w:szCs w:val="24"/>
        </w:rPr>
        <w:t xml:space="preserve"> 1.5; 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2,0</w:t>
      </w:r>
      <w:r w:rsidRPr="00A174BD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2.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A174BD">
        <w:rPr>
          <w:rFonts w:asciiTheme="majorBidi" w:hAnsiTheme="majorBidi" w:cstheme="majorBidi"/>
          <w:sz w:val="24"/>
          <w:szCs w:val="24"/>
        </w:rPr>
        <w:t xml:space="preserve"> ml/menit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diameter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kolom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0,6 cm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</w:rPr>
        <w:t>tinggi resin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</w:rPr>
        <w:t>12 cm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Percobaan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larutan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umpan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kadar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F3EEF">
        <w:rPr>
          <w:rFonts w:asciiTheme="majorBidi" w:hAnsiTheme="majorBidi" w:cstheme="majorBidi"/>
          <w:sz w:val="24"/>
          <w:szCs w:val="24"/>
        </w:rPr>
        <w:t>6.625858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g/L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</w:rPr>
        <w:t>H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74BD">
        <w:rPr>
          <w:rFonts w:asciiTheme="majorBidi" w:hAnsiTheme="majorBidi" w:cstheme="majorBidi"/>
          <w:sz w:val="24"/>
          <w:szCs w:val="24"/>
        </w:rPr>
        <w:t>SO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3,52</w:t>
      </w:r>
      <w:r w:rsidRPr="00A174BD">
        <w:rPr>
          <w:rFonts w:asciiTheme="majorBidi" w:hAnsiTheme="majorBidi" w:cstheme="majorBidi"/>
          <w:sz w:val="24"/>
          <w:szCs w:val="24"/>
        </w:rPr>
        <w:t xml:space="preserve"> M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Larutan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umpan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dialirkan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melewati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resin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penukar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anion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</w:rPr>
        <w:t>kondisi operasi dijaga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konstan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mengatur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kecepatan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keluar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>nya dengan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pompa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fluida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174BD">
        <w:rPr>
          <w:rFonts w:asciiTheme="majorBidi" w:hAnsiTheme="majorBidi" w:cstheme="majorBidi"/>
          <w:sz w:val="24"/>
          <w:szCs w:val="24"/>
        </w:rPr>
        <w:t xml:space="preserve"> Larutan yang keluar dari kolom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</w:rPr>
        <w:t>ditampung dan dianalisa kandungan Zirkonnya dengan spekt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A174BD">
        <w:rPr>
          <w:rFonts w:asciiTheme="majorBidi" w:hAnsiTheme="majorBidi" w:cstheme="majorBidi"/>
          <w:sz w:val="24"/>
          <w:szCs w:val="24"/>
        </w:rPr>
        <w:t>ometer pendar sinar – X</w:t>
      </w:r>
      <w:r w:rsidRPr="00A174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92BA8" w:rsidRPr="00FA7532" w:rsidRDefault="00B92BA8" w:rsidP="00B92BA8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kecepatan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alir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umpan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 1.5; 2,0;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2.5 ml/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menit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Kca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Dz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, SSE,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Pr="00FA7532">
        <w:rPr>
          <w:rFonts w:asciiTheme="majorBidi" w:hAnsiTheme="majorBidi" w:cstheme="majorBidi"/>
          <w:sz w:val="24"/>
          <w:szCs w:val="24"/>
        </w:rPr>
        <w:t xml:space="preserve"> ralat rerata bert</w:t>
      </w:r>
      <w:r>
        <w:rPr>
          <w:rFonts w:asciiTheme="majorBidi" w:hAnsiTheme="majorBidi" w:cstheme="majorBidi"/>
          <w:sz w:val="24"/>
          <w:szCs w:val="24"/>
        </w:rPr>
        <w:t>urut turut  Kca :  0.1760, 0.1821 dan 0.1936</w:t>
      </w:r>
      <w:r w:rsidRPr="00FA7532">
        <w:rPr>
          <w:rFonts w:asciiTheme="majorBidi" w:hAnsiTheme="majorBidi" w:cstheme="majorBidi"/>
          <w:sz w:val="24"/>
          <w:szCs w:val="24"/>
        </w:rPr>
        <w:t xml:space="preserve"> /menit   dan  Dz : 9.0</w:t>
      </w:r>
      <w:r>
        <w:rPr>
          <w:rFonts w:asciiTheme="majorBidi" w:hAnsiTheme="majorBidi" w:cstheme="majorBidi"/>
          <w:sz w:val="24"/>
          <w:szCs w:val="24"/>
        </w:rPr>
        <w:t>360; 20.1188; dan 28.7486</w:t>
      </w:r>
      <w:r w:rsidRPr="00FA7532">
        <w:rPr>
          <w:rFonts w:asciiTheme="majorBidi" w:hAnsiTheme="majorBidi" w:cstheme="majorBidi"/>
          <w:sz w:val="24"/>
          <w:szCs w:val="24"/>
        </w:rPr>
        <w:t xml:space="preserve"> </w:t>
      </w:r>
      <w:r w:rsidRPr="00FA7532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FA7532">
        <w:rPr>
          <w:rFonts w:asciiTheme="majorBidi" w:hAnsiTheme="majorBidi" w:cstheme="majorBidi"/>
          <w:sz w:val="24"/>
          <w:szCs w:val="24"/>
        </w:rPr>
        <w:t>m</w:t>
      </w:r>
      <w:r w:rsidRPr="00FA753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FA7532">
        <w:rPr>
          <w:rFonts w:asciiTheme="majorBidi" w:hAnsiTheme="majorBidi" w:cstheme="majorBidi"/>
          <w:sz w:val="24"/>
          <w:szCs w:val="24"/>
        </w:rPr>
        <w:t>/menit</w:t>
      </w:r>
      <w:r w:rsidRPr="00FA7532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FA7532">
        <w:rPr>
          <w:rFonts w:asciiTheme="majorBidi" w:hAnsiTheme="majorBidi" w:cstheme="majorBidi"/>
          <w:sz w:val="24"/>
          <w:szCs w:val="24"/>
        </w:rPr>
        <w:t xml:space="preserve"> dengan nilai SSE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DA127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Sum Square of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DA1271">
        <w:rPr>
          <w:rFonts w:asciiTheme="majorBidi" w:hAnsiTheme="majorBidi" w:cstheme="majorBidi"/>
          <w:i/>
          <w:iCs/>
          <w:sz w:val="24"/>
          <w:szCs w:val="24"/>
          <w:lang w:val="en-US"/>
        </w:rPr>
        <w:t>rror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berturut turut : 0.2756</w:t>
      </w:r>
      <w:r w:rsidRPr="00FA7532">
        <w:rPr>
          <w:rFonts w:asciiTheme="majorBidi" w:hAnsiTheme="majorBidi" w:cstheme="majorBidi"/>
          <w:sz w:val="24"/>
          <w:szCs w:val="24"/>
        </w:rPr>
        <w:t>; 0.43</w:t>
      </w:r>
      <w:r>
        <w:rPr>
          <w:rFonts w:asciiTheme="majorBidi" w:hAnsiTheme="majorBidi" w:cstheme="majorBidi"/>
          <w:sz w:val="24"/>
          <w:szCs w:val="24"/>
        </w:rPr>
        <w:t>04</w:t>
      </w:r>
      <w:r w:rsidRPr="00FA7532">
        <w:rPr>
          <w:rFonts w:asciiTheme="majorBidi" w:hAnsiTheme="majorBidi" w:cstheme="majorBidi"/>
          <w:sz w:val="24"/>
          <w:szCs w:val="24"/>
        </w:rPr>
        <w:t xml:space="preserve"> dan 0.48</w:t>
      </w:r>
      <w:r>
        <w:rPr>
          <w:rFonts w:asciiTheme="majorBidi" w:hAnsiTheme="majorBidi" w:cstheme="majorBidi"/>
          <w:sz w:val="24"/>
          <w:szCs w:val="24"/>
        </w:rPr>
        <w:t>53</w:t>
      </w:r>
      <w:r w:rsidRPr="00FA7532">
        <w:rPr>
          <w:rFonts w:asciiTheme="majorBidi" w:hAnsiTheme="majorBidi" w:cstheme="majorBidi"/>
          <w:sz w:val="24"/>
          <w:szCs w:val="24"/>
        </w:rPr>
        <w:t xml:space="preserve"> dan ralat rerata berturut turut : 2.4</w:t>
      </w:r>
      <w:r>
        <w:rPr>
          <w:rFonts w:asciiTheme="majorBidi" w:hAnsiTheme="majorBidi" w:cstheme="majorBidi"/>
          <w:sz w:val="24"/>
          <w:szCs w:val="24"/>
        </w:rPr>
        <w:t>811</w:t>
      </w:r>
      <w:r w:rsidRPr="00FA7532">
        <w:rPr>
          <w:rFonts w:asciiTheme="majorBidi" w:hAnsiTheme="majorBidi" w:cstheme="majorBidi"/>
          <w:sz w:val="24"/>
          <w:szCs w:val="24"/>
        </w:rPr>
        <w:t>; 2.37</w:t>
      </w:r>
      <w:r>
        <w:rPr>
          <w:rFonts w:asciiTheme="majorBidi" w:hAnsiTheme="majorBidi" w:cstheme="majorBidi"/>
          <w:sz w:val="24"/>
          <w:szCs w:val="24"/>
        </w:rPr>
        <w:t>09</w:t>
      </w:r>
      <w:r w:rsidRPr="00FA7532">
        <w:rPr>
          <w:rFonts w:asciiTheme="majorBidi" w:hAnsiTheme="majorBidi" w:cstheme="majorBidi"/>
          <w:sz w:val="24"/>
          <w:szCs w:val="24"/>
        </w:rPr>
        <w:t>; dan 2.96</w:t>
      </w:r>
      <w:r>
        <w:rPr>
          <w:rFonts w:asciiTheme="majorBidi" w:hAnsiTheme="majorBidi" w:cstheme="majorBidi"/>
          <w:sz w:val="24"/>
          <w:szCs w:val="24"/>
        </w:rPr>
        <w:t>07</w:t>
      </w:r>
      <w:r w:rsidRPr="00FA7532">
        <w:rPr>
          <w:rFonts w:asciiTheme="majorBidi" w:hAnsiTheme="majorBidi" w:cstheme="majorBidi"/>
          <w:sz w:val="24"/>
          <w:szCs w:val="24"/>
        </w:rPr>
        <w:t xml:space="preserve"> %.</w:t>
      </w:r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matematis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dihasilkan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berbentuk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differensial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parsial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A7532">
        <w:rPr>
          <w:rFonts w:asciiTheme="majorBidi" w:hAnsiTheme="majorBidi" w:cstheme="majorBidi"/>
          <w:sz w:val="24"/>
          <w:szCs w:val="24"/>
          <w:lang w:val="en-US"/>
        </w:rPr>
        <w:t>simultan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FA7532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FA7532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:rsidR="00B92BA8" w:rsidRPr="00A174BD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174BD">
        <w:rPr>
          <w:rFonts w:asciiTheme="majorBidi" w:hAnsiTheme="majorBidi" w:cstheme="majorBidi"/>
          <w:sz w:val="24"/>
          <w:szCs w:val="24"/>
        </w:rPr>
        <w:t>Dz (δ</w:t>
      </w:r>
      <w:r w:rsidRPr="00A174B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A174BD">
        <w:rPr>
          <w:rFonts w:asciiTheme="majorBidi" w:hAnsiTheme="majorBidi" w:cstheme="majorBidi"/>
          <w:sz w:val="24"/>
          <w:szCs w:val="24"/>
        </w:rPr>
        <w:t>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/δz</w:t>
      </w:r>
      <w:r w:rsidRPr="00A174B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A174BD">
        <w:rPr>
          <w:rFonts w:asciiTheme="majorBidi" w:hAnsiTheme="majorBidi" w:cstheme="majorBidi"/>
          <w:sz w:val="24"/>
          <w:szCs w:val="24"/>
        </w:rPr>
        <w:t>)  - v (δC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/δz) - Kca.(C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- 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*)    = ε (δC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/δt) dan</w:t>
      </w:r>
    </w:p>
    <w:p w:rsidR="00B92BA8" w:rsidRPr="00A174BD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92BA8" w:rsidRPr="00A174BD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174BD">
        <w:rPr>
          <w:rFonts w:asciiTheme="majorBidi" w:hAnsiTheme="majorBidi" w:cstheme="majorBidi"/>
          <w:sz w:val="24"/>
          <w:szCs w:val="24"/>
        </w:rPr>
        <w:t>δX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 xml:space="preserve">A </w:t>
      </w:r>
      <w:r w:rsidRPr="00A174BD">
        <w:rPr>
          <w:rFonts w:asciiTheme="majorBidi" w:hAnsiTheme="majorBidi" w:cstheme="majorBidi"/>
          <w:sz w:val="24"/>
          <w:szCs w:val="24"/>
        </w:rPr>
        <w:t>/ δt = Kca/ ρ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A174BD">
        <w:rPr>
          <w:rFonts w:asciiTheme="majorBidi" w:hAnsiTheme="majorBidi" w:cstheme="majorBidi"/>
          <w:sz w:val="24"/>
          <w:szCs w:val="24"/>
        </w:rPr>
        <w:t xml:space="preserve"> { (C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- 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 xml:space="preserve">*)} </w:t>
      </w:r>
    </w:p>
    <w:p w:rsidR="00B92BA8" w:rsidRPr="00A174BD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92BA8" w:rsidRPr="00A174BD" w:rsidRDefault="00B92BA8" w:rsidP="00B92BA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proofErr w:type="gram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persamaan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pembantu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r w:rsidRPr="00A174BD">
        <w:rPr>
          <w:rFonts w:asciiTheme="majorBidi" w:hAnsiTheme="majorBidi" w:cstheme="majorBidi"/>
          <w:sz w:val="24"/>
          <w:szCs w:val="24"/>
        </w:rPr>
        <w:t>C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174BD">
        <w:rPr>
          <w:rFonts w:asciiTheme="majorBidi" w:hAnsiTheme="majorBidi" w:cstheme="majorBidi"/>
          <w:sz w:val="24"/>
          <w:szCs w:val="24"/>
        </w:rPr>
        <w:t>* = H. X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A</w:t>
      </w:r>
    </w:p>
    <w:p w:rsidR="00B92BA8" w:rsidRPr="00A174BD" w:rsidRDefault="00B92BA8" w:rsidP="00B92BA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92BA8" w:rsidRPr="00A174BD" w:rsidRDefault="00B92BA8" w:rsidP="00B92BA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Kata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  <w:lang w:val="en-US"/>
        </w:rPr>
        <w:t>kunci</w:t>
      </w:r>
      <w:proofErr w:type="spell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A174BD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Pr="00A174BD">
        <w:rPr>
          <w:rFonts w:asciiTheme="majorBidi" w:hAnsiTheme="majorBidi" w:cstheme="majorBidi"/>
          <w:sz w:val="24"/>
          <w:szCs w:val="24"/>
          <w:lang w:val="en-US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DA12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Kca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Dz</w:t>
      </w:r>
      <w:proofErr w:type="spellEnd"/>
    </w:p>
    <w:p w:rsidR="00354003" w:rsidRDefault="00354003"/>
    <w:sectPr w:rsidR="00354003" w:rsidSect="0035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BA8"/>
    <w:rsid w:val="00354003"/>
    <w:rsid w:val="00B9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A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BA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2015-04-09T01:57:00Z</dcterms:created>
  <dcterms:modified xsi:type="dcterms:W3CDTF">2015-04-09T01:57:00Z</dcterms:modified>
</cp:coreProperties>
</file>